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黑体" w:hAnsi="黑体" w:eastAsia="黑体" w:cs="宋体"/>
          <w:color w:val="333333"/>
          <w:sz w:val="32"/>
          <w:szCs w:val="32"/>
        </w:rPr>
      </w:pPr>
      <w:r>
        <w:rPr>
          <w:rFonts w:hint="eastAsia" w:ascii="黑体" w:hAnsi="黑体" w:eastAsia="黑体" w:cs="宋体"/>
          <w:color w:val="333333"/>
          <w:sz w:val="32"/>
          <w:szCs w:val="32"/>
        </w:rPr>
        <w:t>附件7：</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rPr>
          <w:rFonts w:ascii="华文中宋" w:hAnsi="华文中宋" w:eastAsia="华文中宋" w:cs="宋体"/>
          <w:b/>
          <w:kern w:val="0"/>
          <w:sz w:val="52"/>
          <w:szCs w:val="52"/>
        </w:rPr>
      </w:pPr>
    </w:p>
    <w:p>
      <w:pPr>
        <w:spacing w:line="540" w:lineRule="exact"/>
        <w:jc w:val="center"/>
        <w:rPr>
          <w:rFonts w:hint="eastAsia" w:ascii="方正小标宋_GBK" w:hAnsi="华文中宋" w:eastAsia="方正小标宋_GBK" w:cs="宋体"/>
          <w:b/>
          <w:kern w:val="0"/>
          <w:sz w:val="48"/>
          <w:szCs w:val="48"/>
        </w:rPr>
      </w:pPr>
      <w:bookmarkStart w:id="0" w:name="_Hlk70355250"/>
      <w:r>
        <w:rPr>
          <w:rFonts w:hint="eastAsia" w:ascii="方正小标宋_GBK" w:hAnsi="华文中宋" w:eastAsia="方正小标宋_GBK" w:cs="宋体"/>
          <w:b/>
          <w:kern w:val="0"/>
          <w:sz w:val="48"/>
          <w:szCs w:val="48"/>
        </w:rPr>
        <w:t>伊犁州特克斯县马场文教整体支出绩效自评报告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Ansi="宋体" w:eastAsia="仿宋_GB2312" w:cs="宋体"/>
          <w:kern w:val="0"/>
          <w:sz w:val="36"/>
          <w:szCs w:val="36"/>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部门单位名称（公章）：特克斯县马场寄宿制小学</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w:t>
      </w:r>
      <w:r>
        <w:rPr>
          <w:rFonts w:hAnsi="宋体" w:eastAsia="仿宋_GB2312" w:cs="宋体"/>
          <w:kern w:val="0"/>
          <w:sz w:val="36"/>
          <w:szCs w:val="36"/>
        </w:rPr>
        <w:t>2022</w:t>
      </w:r>
      <w:r>
        <w:rPr>
          <w:rFonts w:hint="eastAsia" w:hAnsi="宋体" w:eastAsia="仿宋_GB2312" w:cs="宋体"/>
          <w:kern w:val="0"/>
          <w:sz w:val="36"/>
          <w:szCs w:val="36"/>
        </w:rPr>
        <w:t xml:space="preserve"> 年</w:t>
      </w:r>
      <w:r>
        <w:rPr>
          <w:rFonts w:hint="eastAsia" w:hAnsi="宋体" w:eastAsia="仿宋_GB2312" w:cs="宋体"/>
          <w:kern w:val="0"/>
          <w:sz w:val="36"/>
          <w:szCs w:val="36"/>
          <w:lang w:val="en-US" w:eastAsia="zh-CN"/>
        </w:rPr>
        <w:t>4</w:t>
      </w:r>
      <w:r>
        <w:rPr>
          <w:rFonts w:hint="eastAsia" w:hAnsi="宋体" w:eastAsia="仿宋_GB2312" w:cs="宋体"/>
          <w:kern w:val="0"/>
          <w:sz w:val="36"/>
          <w:szCs w:val="36"/>
        </w:rPr>
        <w:t>月</w:t>
      </w:r>
      <w:r>
        <w:rPr>
          <w:rFonts w:hint="eastAsia" w:hAnsi="宋体" w:eastAsia="仿宋_GB2312" w:cs="宋体"/>
          <w:kern w:val="0"/>
          <w:sz w:val="36"/>
          <w:szCs w:val="36"/>
          <w:lang w:val="en-US" w:eastAsia="zh-CN"/>
        </w:rPr>
        <w:t>28</w:t>
      </w:r>
      <w:r>
        <w:rPr>
          <w:rFonts w:hint="eastAsia" w:hAnsi="宋体" w:eastAsia="仿宋_GB2312" w:cs="宋体"/>
          <w:kern w:val="0"/>
          <w:sz w:val="36"/>
          <w:szCs w:val="36"/>
        </w:rPr>
        <w:t>日</w:t>
      </w:r>
    </w:p>
    <w:p>
      <w:pPr>
        <w:pStyle w:val="3"/>
        <w:spacing w:line="360" w:lineRule="auto"/>
        <w:rPr>
          <w:rFonts w:hint="eastAsia" w:ascii="仿宋" w:hAnsi="仿宋" w:eastAsia="仿宋"/>
          <w:sz w:val="36"/>
          <w:szCs w:val="36"/>
          <w:lang w:bidi="ar"/>
        </w:rPr>
      </w:pPr>
      <w:bookmarkStart w:id="1" w:name="_Toc70450289"/>
      <w:r>
        <w:rPr>
          <w:rFonts w:hint="eastAsia" w:ascii="仿宋" w:hAnsi="仿宋" w:eastAsia="仿宋"/>
          <w:sz w:val="36"/>
          <w:szCs w:val="36"/>
          <w:lang w:bidi="ar"/>
        </w:rPr>
        <w:t>一、基本概况</w:t>
      </w:r>
      <w:bookmarkEnd w:id="1"/>
    </w:p>
    <w:p>
      <w:pPr>
        <w:pStyle w:val="4"/>
        <w:spacing w:line="360" w:lineRule="auto"/>
        <w:rPr>
          <w:rStyle w:val="17"/>
          <w:rFonts w:hint="eastAsia" w:ascii="仿宋" w:hAnsi="仿宋" w:eastAsia="仿宋" w:cs="Times New Roman"/>
          <w:b/>
          <w:bCs/>
        </w:rPr>
      </w:pPr>
      <w:bookmarkStart w:id="2" w:name="_Toc70450290"/>
      <w:r>
        <w:rPr>
          <w:rStyle w:val="17"/>
          <w:rFonts w:hint="eastAsia" w:ascii="仿宋" w:hAnsi="仿宋" w:eastAsia="仿宋" w:cs="Times New Roman"/>
          <w:b/>
          <w:bCs/>
        </w:rPr>
        <w:t>（一）部门单位基本情况</w:t>
      </w:r>
      <w:bookmarkEnd w:id="2"/>
    </w:p>
    <w:p>
      <w:pPr>
        <w:pStyle w:val="5"/>
        <w:spacing w:line="360" w:lineRule="auto"/>
        <w:ind w:firstLine="562" w:firstLineChars="200"/>
        <w:rPr>
          <w:rStyle w:val="17"/>
          <w:rFonts w:ascii="仿宋" w:hAnsi="仿宋" w:eastAsia="仿宋" w:cs="Times New Roman"/>
          <w:b/>
          <w:bCs/>
        </w:rPr>
      </w:pPr>
      <w:bookmarkStart w:id="3" w:name="_Toc70450291"/>
      <w:r>
        <w:rPr>
          <w:rStyle w:val="17"/>
          <w:rFonts w:ascii="仿宋" w:hAnsi="仿宋" w:eastAsia="仿宋" w:cs="Times New Roman"/>
          <w:b/>
          <w:bCs/>
        </w:rPr>
        <w:t>1</w:t>
      </w:r>
      <w:r>
        <w:rPr>
          <w:rStyle w:val="17"/>
          <w:rFonts w:hint="eastAsia" w:ascii="仿宋" w:hAnsi="仿宋" w:eastAsia="仿宋" w:cs="Times New Roman"/>
          <w:b/>
          <w:bCs/>
        </w:rPr>
        <w:t>、主要职能</w:t>
      </w:r>
      <w:bookmarkEnd w:id="3"/>
    </w:p>
    <w:p>
      <w:pPr>
        <w:pStyle w:val="5"/>
        <w:spacing w:line="360" w:lineRule="auto"/>
        <w:ind w:firstLine="408" w:firstLineChars="150"/>
        <w:rPr>
          <w:rStyle w:val="17"/>
          <w:rFonts w:hint="eastAsia" w:ascii="仿宋_GB2312" w:hAnsi="楷体" w:eastAsia="仿宋_GB2312"/>
          <w:b w:val="0"/>
          <w:bCs/>
          <w:spacing w:val="-4"/>
          <w:sz w:val="28"/>
          <w:szCs w:val="28"/>
          <w:lang w:eastAsia="zh-CN"/>
        </w:rPr>
      </w:pPr>
      <w:bookmarkStart w:id="4" w:name="_Toc70450292"/>
      <w:r>
        <w:rPr>
          <w:rStyle w:val="17"/>
          <w:rFonts w:hint="eastAsia" w:ascii="仿宋_GB2312" w:hAnsi="楷体" w:eastAsia="仿宋_GB2312"/>
          <w:b w:val="0"/>
          <w:bCs/>
          <w:spacing w:val="-4"/>
          <w:sz w:val="28"/>
          <w:szCs w:val="28"/>
          <w:lang w:val="en-US" w:eastAsia="zh-CN"/>
        </w:rPr>
        <w:t>(1).</w:t>
      </w:r>
      <w:r>
        <w:rPr>
          <w:rStyle w:val="17"/>
          <w:rFonts w:hint="eastAsia" w:ascii="仿宋_GB2312" w:hAnsi="楷体" w:eastAsia="仿宋_GB2312"/>
          <w:b w:val="0"/>
          <w:bCs/>
          <w:spacing w:val="-4"/>
          <w:sz w:val="28"/>
          <w:szCs w:val="28"/>
          <w:lang w:eastAsia="zh-CN"/>
        </w:rPr>
        <w:t>宣传贯彻党的路线、方针、政策，坚持正确的办学方向。</w:t>
      </w:r>
      <w:r>
        <w:rPr>
          <w:rStyle w:val="17"/>
          <w:rFonts w:hint="eastAsia" w:ascii="仿宋_GB2312" w:hAnsi="楷体" w:eastAsia="仿宋_GB2312"/>
          <w:b w:val="0"/>
          <w:bCs/>
          <w:spacing w:val="-4"/>
          <w:sz w:val="28"/>
          <w:szCs w:val="28"/>
          <w:lang w:eastAsia="zh-CN"/>
        </w:rPr>
        <w:br w:type="textWrapping"/>
      </w:r>
      <w:r>
        <w:rPr>
          <w:rStyle w:val="17"/>
          <w:rFonts w:hint="eastAsia" w:ascii="仿宋_GB2312" w:hAnsi="楷体" w:eastAsia="仿宋_GB2312"/>
          <w:b w:val="0"/>
          <w:bCs/>
          <w:spacing w:val="-4"/>
          <w:sz w:val="28"/>
          <w:szCs w:val="28"/>
          <w:lang w:val="en-US" w:eastAsia="zh-CN"/>
        </w:rPr>
        <w:tab/>
      </w:r>
      <w:r>
        <w:rPr>
          <w:rStyle w:val="17"/>
          <w:rFonts w:hint="eastAsia" w:ascii="仿宋_GB2312" w:hAnsi="楷体" w:eastAsia="仿宋_GB2312"/>
          <w:b w:val="0"/>
          <w:bCs/>
          <w:spacing w:val="-4"/>
          <w:sz w:val="28"/>
          <w:szCs w:val="28"/>
          <w:lang w:val="en-US" w:eastAsia="zh-CN"/>
        </w:rPr>
        <w:t xml:space="preserve"> (2).</w:t>
      </w:r>
      <w:r>
        <w:rPr>
          <w:rStyle w:val="17"/>
          <w:rFonts w:hint="eastAsia" w:ascii="仿宋_GB2312" w:hAnsi="楷体" w:eastAsia="仿宋_GB2312"/>
          <w:b w:val="0"/>
          <w:bCs/>
          <w:spacing w:val="-4"/>
          <w:sz w:val="28"/>
          <w:szCs w:val="28"/>
          <w:lang w:eastAsia="zh-CN"/>
        </w:rPr>
        <w:t>负责党的理论教育研讨工作，指导干部学习党的理论， 培养合格的党员干部。</w:t>
      </w:r>
      <w:r>
        <w:rPr>
          <w:rStyle w:val="17"/>
          <w:rFonts w:hint="eastAsia" w:ascii="仿宋_GB2312" w:hAnsi="楷体" w:eastAsia="仿宋_GB2312"/>
          <w:b w:val="0"/>
          <w:bCs/>
          <w:spacing w:val="-4"/>
          <w:sz w:val="28"/>
          <w:szCs w:val="28"/>
          <w:lang w:eastAsia="zh-CN"/>
        </w:rPr>
        <w:br w:type="textWrapping"/>
      </w:r>
      <w:r>
        <w:rPr>
          <w:rStyle w:val="17"/>
          <w:rFonts w:hint="eastAsia" w:ascii="仿宋_GB2312" w:hAnsi="楷体" w:eastAsia="仿宋_GB2312"/>
          <w:b w:val="0"/>
          <w:bCs/>
          <w:spacing w:val="-4"/>
          <w:sz w:val="28"/>
          <w:szCs w:val="28"/>
          <w:lang w:val="en-US" w:eastAsia="zh-CN"/>
        </w:rPr>
        <w:tab/>
      </w:r>
      <w:r>
        <w:rPr>
          <w:rStyle w:val="17"/>
          <w:rFonts w:hint="eastAsia" w:ascii="仿宋_GB2312" w:hAnsi="楷体" w:eastAsia="仿宋_GB2312"/>
          <w:b w:val="0"/>
          <w:bCs/>
          <w:spacing w:val="-4"/>
          <w:sz w:val="28"/>
          <w:szCs w:val="28"/>
          <w:lang w:val="en-US" w:eastAsia="zh-CN"/>
        </w:rPr>
        <w:t xml:space="preserve"> (3).</w:t>
      </w:r>
      <w:r>
        <w:rPr>
          <w:rStyle w:val="17"/>
          <w:rFonts w:hint="eastAsia" w:ascii="仿宋_GB2312" w:hAnsi="楷体" w:eastAsia="仿宋_GB2312"/>
          <w:b w:val="0"/>
          <w:bCs/>
          <w:spacing w:val="-4"/>
          <w:sz w:val="28"/>
          <w:szCs w:val="28"/>
          <w:lang w:eastAsia="zh-CN"/>
        </w:rPr>
        <w:t>编制学校教学计划、管理、协调教育活动，开展教学情 况。</w:t>
      </w:r>
      <w:r>
        <w:rPr>
          <w:rStyle w:val="17"/>
          <w:rFonts w:hint="eastAsia" w:ascii="仿宋_GB2312" w:hAnsi="楷体" w:eastAsia="仿宋_GB2312"/>
          <w:b w:val="0"/>
          <w:bCs/>
          <w:spacing w:val="-4"/>
          <w:sz w:val="28"/>
          <w:szCs w:val="28"/>
          <w:lang w:eastAsia="zh-CN"/>
        </w:rPr>
        <w:br w:type="textWrapping"/>
      </w:r>
      <w:r>
        <w:rPr>
          <w:rStyle w:val="17"/>
          <w:rFonts w:hint="eastAsia" w:ascii="仿宋_GB2312" w:hAnsi="楷体" w:eastAsia="仿宋_GB2312"/>
          <w:b w:val="0"/>
          <w:bCs/>
          <w:spacing w:val="-4"/>
          <w:sz w:val="28"/>
          <w:szCs w:val="28"/>
          <w:lang w:val="en-US" w:eastAsia="zh-CN"/>
        </w:rPr>
        <w:tab/>
      </w:r>
      <w:r>
        <w:rPr>
          <w:rStyle w:val="17"/>
          <w:rFonts w:hint="eastAsia" w:ascii="仿宋_GB2312" w:hAnsi="楷体" w:eastAsia="仿宋_GB2312"/>
          <w:b w:val="0"/>
          <w:bCs/>
          <w:spacing w:val="-4"/>
          <w:sz w:val="28"/>
          <w:szCs w:val="28"/>
          <w:lang w:val="en-US" w:eastAsia="zh-CN"/>
        </w:rPr>
        <w:t xml:space="preserve"> (4).</w:t>
      </w:r>
      <w:r>
        <w:rPr>
          <w:rStyle w:val="17"/>
          <w:rFonts w:hint="eastAsia" w:ascii="仿宋_GB2312" w:hAnsi="楷体" w:eastAsia="仿宋_GB2312"/>
          <w:b w:val="0"/>
          <w:bCs/>
          <w:spacing w:val="-4"/>
          <w:sz w:val="28"/>
          <w:szCs w:val="28"/>
          <w:lang w:eastAsia="zh-CN"/>
        </w:rPr>
        <w:t xml:space="preserve">完成全校交办的其他工作。 </w:t>
      </w:r>
    </w:p>
    <w:p>
      <w:pPr>
        <w:pStyle w:val="5"/>
        <w:spacing w:line="360" w:lineRule="auto"/>
        <w:ind w:firstLine="562" w:firstLineChars="200"/>
        <w:rPr>
          <w:rStyle w:val="17"/>
          <w:rFonts w:hint="eastAsia" w:ascii="仿宋" w:hAnsi="仿宋" w:eastAsia="仿宋" w:cs="Times New Roman"/>
          <w:b/>
          <w:bCs/>
        </w:rPr>
      </w:pPr>
      <w:r>
        <w:rPr>
          <w:rStyle w:val="17"/>
          <w:rFonts w:hint="eastAsia" w:ascii="仿宋" w:hAnsi="仿宋" w:eastAsia="仿宋" w:cs="Times New Roman"/>
          <w:b/>
          <w:bCs/>
        </w:rPr>
        <w:t>2、机构人员构成</w:t>
      </w:r>
      <w:bookmarkEnd w:id="4"/>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（1）组织机构设置：</w:t>
      </w:r>
    </w:p>
    <w:p>
      <w:pPr>
        <w:spacing w:line="360" w:lineRule="auto"/>
        <w:ind w:firstLine="544" w:firstLineChars="200"/>
        <w:rPr>
          <w:rStyle w:val="17"/>
          <w:rFonts w:asciiTheme="minorEastAsia" w:hAnsiTheme="minorEastAsia"/>
          <w:bCs w:val="0"/>
          <w:color w:val="auto"/>
          <w:spacing w:val="-4"/>
          <w:sz w:val="28"/>
          <w:szCs w:val="28"/>
        </w:rPr>
      </w:pPr>
      <w:r>
        <w:rPr>
          <w:rStyle w:val="17"/>
          <w:rFonts w:hint="eastAsia" w:ascii="仿宋_GB2312" w:hAnsi="楷体" w:eastAsia="仿宋_GB2312"/>
          <w:b w:val="0"/>
          <w:color w:val="auto"/>
          <w:spacing w:val="-4"/>
          <w:sz w:val="28"/>
          <w:szCs w:val="28"/>
          <w:lang w:eastAsia="zh-CN"/>
        </w:rPr>
        <w:t>特克斯县马场寄宿制小学</w:t>
      </w:r>
      <w:r>
        <w:rPr>
          <w:rStyle w:val="17"/>
          <w:rFonts w:hint="eastAsia" w:ascii="仿宋_GB2312" w:hAnsi="楷体" w:eastAsia="仿宋_GB2312"/>
          <w:b w:val="0"/>
          <w:color w:val="auto"/>
          <w:spacing w:val="-4"/>
          <w:sz w:val="28"/>
          <w:szCs w:val="28"/>
        </w:rPr>
        <w:t>无下属预算单位，下设</w:t>
      </w:r>
      <w:r>
        <w:rPr>
          <w:rStyle w:val="17"/>
          <w:rFonts w:hint="eastAsia" w:ascii="仿宋_GB2312" w:hAnsi="楷体" w:eastAsia="仿宋_GB2312"/>
          <w:b w:val="0"/>
          <w:color w:val="auto"/>
          <w:spacing w:val="-4"/>
          <w:sz w:val="28"/>
          <w:szCs w:val="28"/>
          <w:lang w:val="en-US" w:eastAsia="zh-CN"/>
        </w:rPr>
        <w:t>7</w:t>
      </w:r>
      <w:r>
        <w:rPr>
          <w:rStyle w:val="17"/>
          <w:rFonts w:hint="eastAsia" w:ascii="仿宋_GB2312" w:hAnsi="楷体" w:eastAsia="仿宋_GB2312"/>
          <w:b w:val="0"/>
          <w:color w:val="auto"/>
          <w:spacing w:val="-4"/>
          <w:sz w:val="28"/>
          <w:szCs w:val="28"/>
        </w:rPr>
        <w:t>个处室，分别是：办公室、教务处、德育处、教研室、总务处、工会、党建办。</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（2）2021年</w:t>
      </w:r>
      <w:r>
        <w:rPr>
          <w:rStyle w:val="17"/>
          <w:rFonts w:hint="eastAsia" w:ascii="仿宋_GB2312" w:hAnsi="楷体" w:eastAsia="仿宋_GB2312"/>
          <w:b w:val="0"/>
          <w:color w:val="auto"/>
          <w:spacing w:val="-4"/>
          <w:sz w:val="28"/>
          <w:szCs w:val="28"/>
          <w:lang w:eastAsia="zh-CN"/>
        </w:rPr>
        <w:t>特克斯县马场寄宿制小学</w:t>
      </w:r>
      <w:r>
        <w:rPr>
          <w:rStyle w:val="17"/>
          <w:rFonts w:hint="eastAsia" w:ascii="仿宋_GB2312" w:hAnsi="楷体" w:eastAsia="仿宋_GB2312"/>
          <w:b w:val="0"/>
          <w:color w:val="auto"/>
          <w:spacing w:val="-4"/>
          <w:sz w:val="28"/>
          <w:szCs w:val="28"/>
        </w:rPr>
        <w:t>实有在职人员为</w:t>
      </w:r>
      <w:r>
        <w:rPr>
          <w:rStyle w:val="17"/>
          <w:rFonts w:hint="eastAsia" w:ascii="仿宋_GB2312" w:hAnsi="楷体" w:eastAsia="仿宋_GB2312"/>
          <w:b w:val="0"/>
          <w:color w:val="auto"/>
          <w:spacing w:val="-4"/>
          <w:sz w:val="28"/>
          <w:szCs w:val="28"/>
          <w:lang w:val="en-US" w:eastAsia="zh-CN"/>
        </w:rPr>
        <w:t>101</w:t>
      </w:r>
      <w:r>
        <w:rPr>
          <w:rStyle w:val="17"/>
          <w:rFonts w:hint="eastAsia" w:ascii="仿宋_GB2312" w:hAnsi="楷体" w:eastAsia="仿宋_GB2312"/>
          <w:b w:val="0"/>
          <w:color w:val="auto"/>
          <w:spacing w:val="-4"/>
          <w:sz w:val="28"/>
          <w:szCs w:val="28"/>
        </w:rPr>
        <w:t>人，其中：</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行政在职0人（上年0人），与上年一致；</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lang w:eastAsia="zh-CN"/>
        </w:rPr>
        <w:t>事业</w:t>
      </w:r>
      <w:r>
        <w:rPr>
          <w:rStyle w:val="17"/>
          <w:rFonts w:hint="eastAsia" w:ascii="仿宋_GB2312" w:hAnsi="楷体" w:eastAsia="仿宋_GB2312"/>
          <w:b w:val="0"/>
          <w:color w:val="auto"/>
          <w:spacing w:val="-4"/>
          <w:sz w:val="28"/>
          <w:szCs w:val="28"/>
        </w:rPr>
        <w:t>在职</w:t>
      </w:r>
      <w:r>
        <w:rPr>
          <w:rStyle w:val="17"/>
          <w:rFonts w:hint="eastAsia" w:ascii="仿宋_GB2312" w:hAnsi="楷体" w:eastAsia="仿宋_GB2312"/>
          <w:b w:val="0"/>
          <w:color w:val="auto"/>
          <w:spacing w:val="-4"/>
          <w:sz w:val="28"/>
          <w:szCs w:val="28"/>
          <w:lang w:val="en-US" w:eastAsia="zh-CN"/>
        </w:rPr>
        <w:t>101</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100</w:t>
      </w:r>
      <w:r>
        <w:rPr>
          <w:rStyle w:val="17"/>
          <w:rFonts w:hint="eastAsia" w:ascii="仿宋_GB2312" w:hAnsi="楷体" w:eastAsia="仿宋_GB2312"/>
          <w:b w:val="0"/>
          <w:color w:val="auto"/>
          <w:spacing w:val="-4"/>
          <w:sz w:val="28"/>
          <w:szCs w:val="28"/>
        </w:rPr>
        <w:t>人），同比上年增加</w:t>
      </w:r>
      <w:r>
        <w:rPr>
          <w:rStyle w:val="17"/>
          <w:rFonts w:hint="eastAsia" w:ascii="仿宋_GB2312" w:hAnsi="楷体" w:eastAsia="仿宋_GB2312"/>
          <w:b w:val="0"/>
          <w:color w:val="auto"/>
          <w:spacing w:val="-4"/>
          <w:sz w:val="28"/>
          <w:szCs w:val="28"/>
          <w:lang w:val="en-US" w:eastAsia="zh-CN"/>
        </w:rPr>
        <w:t>1</w:t>
      </w:r>
      <w:r>
        <w:rPr>
          <w:rStyle w:val="17"/>
          <w:rFonts w:hint="eastAsia" w:ascii="仿宋_GB2312" w:hAnsi="楷体" w:eastAsia="仿宋_GB2312"/>
          <w:b w:val="0"/>
          <w:color w:val="auto"/>
          <w:spacing w:val="-4"/>
          <w:sz w:val="28"/>
          <w:szCs w:val="28"/>
        </w:rPr>
        <w:t>人；</w:t>
      </w:r>
    </w:p>
    <w:p>
      <w:pPr>
        <w:spacing w:line="360" w:lineRule="auto"/>
        <w:ind w:firstLine="544" w:firstLineChars="200"/>
        <w:rPr>
          <w:rStyle w:val="17"/>
          <w:rFonts w:hint="eastAsia" w:ascii="仿宋_GB2312" w:hAnsi="楷体" w:eastAsia="仿宋_GB2312"/>
          <w:b w:val="0"/>
          <w:color w:val="auto"/>
          <w:spacing w:val="-4"/>
          <w:sz w:val="28"/>
          <w:szCs w:val="28"/>
          <w:lang w:eastAsia="zh-CN"/>
        </w:rPr>
      </w:pPr>
      <w:r>
        <w:rPr>
          <w:rStyle w:val="17"/>
          <w:rFonts w:hint="eastAsia" w:ascii="仿宋_GB2312" w:hAnsi="楷体" w:eastAsia="仿宋_GB2312"/>
          <w:b w:val="0"/>
          <w:color w:val="auto"/>
          <w:spacing w:val="-4"/>
          <w:sz w:val="28"/>
          <w:szCs w:val="28"/>
        </w:rPr>
        <w:t>实有离休人员</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0</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与上年一致</w:t>
      </w:r>
      <w:r>
        <w:rPr>
          <w:rStyle w:val="17"/>
          <w:rFonts w:hint="eastAsia" w:ascii="仿宋_GB2312" w:hAnsi="楷体" w:eastAsia="仿宋_GB2312"/>
          <w:b w:val="0"/>
          <w:color w:val="auto"/>
          <w:spacing w:val="-4"/>
          <w:sz w:val="28"/>
          <w:szCs w:val="28"/>
          <w:lang w:eastAsia="zh-CN"/>
        </w:rPr>
        <w:t>。</w:t>
      </w:r>
    </w:p>
    <w:p>
      <w:pPr>
        <w:spacing w:line="360" w:lineRule="auto"/>
        <w:ind w:firstLine="544" w:firstLineChars="200"/>
        <w:rPr>
          <w:rStyle w:val="17"/>
          <w:rFonts w:ascii="仿宋_GB2312" w:hAnsi="楷体" w:eastAsia="仿宋_GB2312"/>
          <w:b w:val="0"/>
          <w:color w:val="auto"/>
          <w:spacing w:val="-4"/>
          <w:sz w:val="28"/>
          <w:szCs w:val="28"/>
        </w:rPr>
      </w:pPr>
      <w:r>
        <w:rPr>
          <w:rStyle w:val="17"/>
          <w:rFonts w:hint="eastAsia" w:ascii="仿宋_GB2312" w:hAnsi="楷体" w:eastAsia="仿宋_GB2312"/>
          <w:b w:val="0"/>
          <w:color w:val="auto"/>
          <w:spacing w:val="-4"/>
          <w:sz w:val="28"/>
          <w:szCs w:val="28"/>
        </w:rPr>
        <w:t>实有退休人员</w:t>
      </w:r>
      <w:r>
        <w:rPr>
          <w:rStyle w:val="17"/>
          <w:rFonts w:hint="eastAsia" w:ascii="仿宋_GB2312" w:hAnsi="楷体" w:eastAsia="仿宋_GB2312"/>
          <w:b w:val="0"/>
          <w:color w:val="auto"/>
          <w:spacing w:val="-4"/>
          <w:sz w:val="28"/>
          <w:szCs w:val="28"/>
          <w:lang w:val="en-US" w:eastAsia="zh-CN"/>
        </w:rPr>
        <w:t>39</w:t>
      </w:r>
      <w:r>
        <w:rPr>
          <w:rStyle w:val="17"/>
          <w:rFonts w:hint="eastAsia" w:ascii="仿宋_GB2312" w:hAnsi="楷体" w:eastAsia="仿宋_GB2312"/>
          <w:b w:val="0"/>
          <w:color w:val="auto"/>
          <w:spacing w:val="-4"/>
          <w:sz w:val="28"/>
          <w:szCs w:val="28"/>
        </w:rPr>
        <w:t>人（上年</w:t>
      </w:r>
      <w:r>
        <w:rPr>
          <w:rStyle w:val="17"/>
          <w:rFonts w:hint="eastAsia" w:ascii="仿宋_GB2312" w:hAnsi="楷体" w:eastAsia="仿宋_GB2312"/>
          <w:b w:val="0"/>
          <w:color w:val="auto"/>
          <w:spacing w:val="-4"/>
          <w:sz w:val="28"/>
          <w:szCs w:val="28"/>
          <w:lang w:val="en-US" w:eastAsia="zh-CN"/>
        </w:rPr>
        <w:t>36</w:t>
      </w:r>
      <w:r>
        <w:rPr>
          <w:rStyle w:val="17"/>
          <w:rFonts w:hint="eastAsia" w:ascii="仿宋_GB2312" w:hAnsi="楷体" w:eastAsia="仿宋_GB2312"/>
          <w:b w:val="0"/>
          <w:color w:val="auto"/>
          <w:spacing w:val="-4"/>
          <w:sz w:val="28"/>
          <w:szCs w:val="28"/>
        </w:rPr>
        <w:t>人）,</w:t>
      </w:r>
      <w:r>
        <w:rPr>
          <w:rFonts w:hint="eastAsia" w:ascii="仿宋_GB2312" w:hAnsi="楷体" w:eastAsia="仿宋_GB2312"/>
          <w:b/>
          <w:color w:val="auto"/>
          <w:spacing w:val="-4"/>
          <w:sz w:val="28"/>
          <w:szCs w:val="28"/>
        </w:rPr>
        <w:t xml:space="preserve"> </w:t>
      </w:r>
      <w:r>
        <w:rPr>
          <w:rStyle w:val="17"/>
          <w:rFonts w:hint="eastAsia" w:ascii="仿宋_GB2312" w:hAnsi="楷体" w:eastAsia="仿宋_GB2312"/>
          <w:b w:val="0"/>
          <w:color w:val="auto"/>
          <w:spacing w:val="-4"/>
          <w:sz w:val="28"/>
          <w:szCs w:val="28"/>
        </w:rPr>
        <w:t>同比上年增加</w:t>
      </w:r>
      <w:r>
        <w:rPr>
          <w:rStyle w:val="17"/>
          <w:rFonts w:hint="eastAsia" w:ascii="仿宋_GB2312" w:hAnsi="楷体" w:eastAsia="仿宋_GB2312"/>
          <w:b w:val="0"/>
          <w:color w:val="auto"/>
          <w:spacing w:val="-4"/>
          <w:sz w:val="28"/>
          <w:szCs w:val="28"/>
          <w:lang w:val="en-US" w:eastAsia="zh-CN"/>
        </w:rPr>
        <w:t>3</w:t>
      </w:r>
      <w:r>
        <w:rPr>
          <w:rStyle w:val="17"/>
          <w:rFonts w:hint="eastAsia" w:ascii="仿宋_GB2312" w:hAnsi="楷体" w:eastAsia="仿宋_GB2312"/>
          <w:b w:val="0"/>
          <w:color w:val="auto"/>
          <w:spacing w:val="-4"/>
          <w:sz w:val="28"/>
          <w:szCs w:val="28"/>
        </w:rPr>
        <w:t>人。</w:t>
      </w:r>
    </w:p>
    <w:p/>
    <w:p>
      <w:pPr>
        <w:pStyle w:val="5"/>
        <w:numPr>
          <w:ilvl w:val="0"/>
          <w:numId w:val="1"/>
        </w:numPr>
        <w:spacing w:line="360" w:lineRule="auto"/>
        <w:ind w:firstLine="562" w:firstLineChars="200"/>
        <w:rPr>
          <w:rStyle w:val="17"/>
          <w:rFonts w:hint="eastAsia" w:ascii="仿宋" w:hAnsi="仿宋" w:eastAsia="仿宋" w:cs="Times New Roman"/>
          <w:b/>
          <w:bCs/>
        </w:rPr>
      </w:pPr>
      <w:bookmarkStart w:id="5" w:name="_Toc70450293"/>
      <w:r>
        <w:rPr>
          <w:rStyle w:val="17"/>
          <w:rFonts w:hint="eastAsia" w:ascii="仿宋" w:hAnsi="仿宋" w:eastAsia="仿宋" w:cs="Times New Roman"/>
          <w:b/>
          <w:bCs/>
        </w:rPr>
        <w:t>重点工作计划</w:t>
      </w:r>
      <w:bookmarkEnd w:id="5"/>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（1）确保人员经费的合理分配。</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（2）完成在职教师工资发放、按时完成社保、公积金缴纳。</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（3）及时完成退休教师取暖费、计生奖励金按时发放。</w:t>
      </w:r>
    </w:p>
    <w:p>
      <w:pPr>
        <w:spacing w:line="360" w:lineRule="auto"/>
        <w:ind w:firstLine="544" w:firstLineChars="200"/>
        <w:rPr>
          <w:rStyle w:val="17"/>
          <w:rFonts w:asciiTheme="majorEastAsia" w:hAnsiTheme="majorEastAsia" w:eastAsiaTheme="majorEastAsia"/>
          <w:b w:val="0"/>
          <w:bCs w:val="0"/>
        </w:rPr>
      </w:pPr>
      <w:r>
        <w:rPr>
          <w:rStyle w:val="17"/>
          <w:rFonts w:hint="eastAsia" w:ascii="仿宋_GB2312" w:hAnsi="楷体" w:eastAsia="仿宋_GB2312"/>
          <w:b w:val="0"/>
          <w:spacing w:val="-4"/>
          <w:sz w:val="28"/>
          <w:szCs w:val="28"/>
        </w:rPr>
        <w:t>（4）完成每年教学任务。全面推进各类教师能力提升培训，加强教师队伍建设。完成好教育教学管理工作。</w:t>
      </w:r>
    </w:p>
    <w:p>
      <w:pPr>
        <w:pStyle w:val="4"/>
        <w:spacing w:line="360" w:lineRule="auto"/>
        <w:rPr>
          <w:rStyle w:val="17"/>
          <w:rFonts w:hint="eastAsia" w:ascii="仿宋" w:hAnsi="仿宋" w:eastAsia="仿宋" w:cs="Times New Roman"/>
          <w:b/>
          <w:bCs/>
          <w:sz w:val="28"/>
          <w:szCs w:val="28"/>
        </w:rPr>
      </w:pPr>
      <w:bookmarkStart w:id="6" w:name="_Toc70450294"/>
      <w:r>
        <w:rPr>
          <w:rStyle w:val="17"/>
          <w:rFonts w:hint="eastAsia" w:ascii="仿宋" w:hAnsi="仿宋" w:eastAsia="仿宋" w:cs="Times New Roman"/>
          <w:b/>
          <w:bCs/>
          <w:sz w:val="28"/>
          <w:szCs w:val="28"/>
        </w:rPr>
        <w:t>（二）部门单位整体支出规模、</w:t>
      </w:r>
      <w:bookmarkStart w:id="7" w:name="_Hlk70339807"/>
      <w:r>
        <w:rPr>
          <w:rStyle w:val="17"/>
          <w:rFonts w:hint="eastAsia" w:ascii="仿宋" w:hAnsi="仿宋" w:eastAsia="仿宋" w:cs="Times New Roman"/>
          <w:b/>
          <w:bCs/>
          <w:sz w:val="28"/>
          <w:szCs w:val="28"/>
        </w:rPr>
        <w:t>使用方法和主要内容、涉及对象及范围等</w:t>
      </w:r>
      <w:bookmarkEnd w:id="6"/>
    </w:p>
    <w:bookmarkEnd w:id="7"/>
    <w:p>
      <w:pPr>
        <w:pStyle w:val="5"/>
        <w:spacing w:line="360" w:lineRule="auto"/>
        <w:ind w:firstLine="562" w:firstLineChars="200"/>
        <w:rPr>
          <w:rStyle w:val="17"/>
          <w:rFonts w:hint="eastAsia" w:ascii="仿宋" w:hAnsi="仿宋" w:eastAsia="仿宋" w:cs="Times New Roman"/>
          <w:b/>
          <w:bCs/>
        </w:rPr>
      </w:pPr>
      <w:bookmarkStart w:id="8" w:name="_Toc70450295"/>
      <w:r>
        <w:rPr>
          <w:rStyle w:val="17"/>
          <w:rFonts w:hint="eastAsia" w:ascii="仿宋" w:hAnsi="仿宋" w:eastAsia="仿宋" w:cs="Times New Roman"/>
          <w:b/>
          <w:bCs/>
        </w:rPr>
        <w:t>1、部门单位整体支出规模</w:t>
      </w:r>
      <w:bookmarkEnd w:id="8"/>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2021年批复我单位预算为1607.53万元，其中：财政拨款为1607.53万元，2021年中追加394.94万元，调整率</w:t>
      </w:r>
      <w:r>
        <w:rPr>
          <w:rStyle w:val="17"/>
          <w:rFonts w:hint="eastAsia" w:ascii="仿宋_GB2312" w:hAnsi="楷体" w:eastAsia="仿宋_GB2312" w:cs="Times New Roman"/>
          <w:b w:val="0"/>
          <w:spacing w:val="-4"/>
          <w:sz w:val="28"/>
          <w:szCs w:val="28"/>
          <w:highlight w:val="none"/>
          <w:lang w:val="en-US" w:eastAsia="zh-CN"/>
        </w:rPr>
        <w:t>32.57</w:t>
      </w:r>
      <w:r>
        <w:rPr>
          <w:rStyle w:val="17"/>
          <w:rFonts w:hint="eastAsia" w:ascii="仿宋_GB2312" w:hAnsi="楷体" w:eastAsia="仿宋_GB2312" w:cs="Times New Roman"/>
          <w:b w:val="0"/>
          <w:spacing w:val="-4"/>
          <w:sz w:val="28"/>
          <w:szCs w:val="28"/>
          <w:highlight w:val="none"/>
        </w:rPr>
        <w:t>%。对比上年1568.7万元增加38.83万元，上升2.4</w:t>
      </w:r>
      <w:r>
        <w:rPr>
          <w:rStyle w:val="17"/>
          <w:rFonts w:hint="eastAsia" w:ascii="仿宋_GB2312" w:hAnsi="楷体" w:eastAsia="仿宋_GB2312" w:cs="Times New Roman"/>
          <w:b w:val="0"/>
          <w:spacing w:val="-4"/>
          <w:sz w:val="28"/>
          <w:szCs w:val="28"/>
          <w:highlight w:val="none"/>
          <w:lang w:val="en-US" w:eastAsia="zh-CN"/>
        </w:rPr>
        <w:t>8</w:t>
      </w:r>
      <w:r>
        <w:rPr>
          <w:rStyle w:val="17"/>
          <w:rFonts w:hint="eastAsia" w:ascii="仿宋_GB2312" w:hAnsi="楷体" w:eastAsia="仿宋_GB2312" w:cs="Times New Roman"/>
          <w:b w:val="0"/>
          <w:spacing w:val="-4"/>
          <w:sz w:val="28"/>
          <w:szCs w:val="28"/>
          <w:highlight w:val="none"/>
        </w:rPr>
        <w:t>%。</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2021年实际决算支出 1607.53万元，执行率100%，其中：</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1）基本支出1607.53万元，占总支出的100％，主要用于本单位机构正常运转、完成日常工作任务而发生的各项支出。其中：工资福利支出1415.53万元，主要用于在职和离退休人员基本工资、津贴补贴等人员经费。商品和服务支出162.37万元，主要用于办公费、印刷费、水电费、办公设备购置等。对个人和家庭的补助29.63万元，主要用于主要用于离退休人员退休费、生活补助等。</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（2）项目支出</w:t>
      </w:r>
      <w:r>
        <w:rPr>
          <w:rStyle w:val="17"/>
          <w:rFonts w:hint="eastAsia" w:ascii="仿宋_GB2312" w:hAnsi="楷体" w:eastAsia="仿宋_GB2312" w:cs="Times New Roman"/>
          <w:b w:val="0"/>
          <w:spacing w:val="-4"/>
          <w:sz w:val="28"/>
          <w:szCs w:val="28"/>
          <w:highlight w:val="none"/>
          <w:lang w:val="en-US" w:eastAsia="zh-CN"/>
        </w:rPr>
        <w:t>0</w:t>
      </w:r>
      <w:r>
        <w:rPr>
          <w:rStyle w:val="17"/>
          <w:rFonts w:hint="eastAsia" w:ascii="仿宋_GB2312" w:hAnsi="楷体" w:eastAsia="仿宋_GB2312" w:cs="Times New Roman"/>
          <w:b w:val="0"/>
          <w:spacing w:val="-4"/>
          <w:sz w:val="28"/>
          <w:szCs w:val="28"/>
          <w:highlight w:val="none"/>
        </w:rPr>
        <w:t>万元，占总支出的0％。</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（3）本年度重点项目支出0万元，重点支出保障率0%。</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（4）本年度我单位无政府采购预算。</w:t>
      </w:r>
    </w:p>
    <w:p>
      <w:pPr>
        <w:pStyle w:val="5"/>
        <w:spacing w:line="360" w:lineRule="auto"/>
        <w:ind w:firstLine="562" w:firstLineChars="200"/>
        <w:rPr>
          <w:rStyle w:val="17"/>
          <w:rFonts w:ascii="仿宋" w:hAnsi="仿宋" w:eastAsia="仿宋" w:cs="Times New Roman"/>
          <w:b/>
          <w:bCs/>
        </w:rPr>
      </w:pPr>
      <w:bookmarkStart w:id="9" w:name="_Toc70450296"/>
      <w:r>
        <w:rPr>
          <w:rStyle w:val="17"/>
          <w:rFonts w:ascii="仿宋" w:hAnsi="仿宋" w:eastAsia="仿宋" w:cs="Times New Roman"/>
          <w:b/>
          <w:bCs/>
        </w:rPr>
        <w:t>2</w:t>
      </w:r>
      <w:r>
        <w:rPr>
          <w:rStyle w:val="17"/>
          <w:rFonts w:hint="eastAsia" w:ascii="仿宋" w:hAnsi="仿宋" w:eastAsia="仿宋" w:cs="Times New Roman"/>
          <w:b/>
          <w:bCs/>
        </w:rPr>
        <w:t>、整体支出评价使用方法和主要内容、涉及对象及范围等</w:t>
      </w:r>
      <w:bookmarkEnd w:id="9"/>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（1）整体支出评价使用方法</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本次项目支出绩效自评采用因素分析法方法，原因是：</w:t>
      </w:r>
      <w:r>
        <w:rPr>
          <w:rStyle w:val="17"/>
          <w:rFonts w:hint="eastAsia" w:ascii="仿宋_GB2312" w:hAnsi="楷体" w:eastAsia="仿宋_GB2312"/>
          <w:b w:val="0"/>
          <w:color w:val="auto"/>
          <w:spacing w:val="-4"/>
          <w:sz w:val="28"/>
          <w:szCs w:val="28"/>
          <w:lang w:eastAsia="zh-CN"/>
        </w:rPr>
        <w:t>特克斯县马场寄宿制小学</w:t>
      </w:r>
      <w:r>
        <w:rPr>
          <w:rStyle w:val="17"/>
          <w:rFonts w:hint="eastAsia" w:ascii="仿宋_GB2312" w:hAnsi="楷体" w:eastAsia="仿宋_GB2312" w:cs="Times New Roman"/>
          <w:b w:val="0"/>
          <w:spacing w:val="-4"/>
          <w:sz w:val="28"/>
          <w:szCs w:val="28"/>
          <w:highlight w:val="none"/>
        </w:rPr>
        <w:t>从数量上确定各因素对分析指标影响方向和影响程度一种方法，运用因素分析法应注意因素关联性、顺序性。</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（2）整体支出评价主要内容</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fldChar w:fldCharType="begin"/>
      </w:r>
      <w:r>
        <w:rPr>
          <w:rStyle w:val="17"/>
          <w:rFonts w:hint="eastAsia" w:ascii="仿宋_GB2312" w:hAnsi="楷体" w:eastAsia="仿宋_GB2312" w:cs="Times New Roman"/>
          <w:b w:val="0"/>
          <w:spacing w:val="-4"/>
          <w:sz w:val="28"/>
          <w:szCs w:val="28"/>
          <w:highlight w:val="none"/>
        </w:rPr>
        <w:instrText xml:space="preserve"> = 1 \* GB3 </w:instrText>
      </w:r>
      <w:r>
        <w:rPr>
          <w:rStyle w:val="17"/>
          <w:rFonts w:hint="eastAsia" w:ascii="仿宋_GB2312" w:hAnsi="楷体" w:eastAsia="仿宋_GB2312" w:cs="Times New Roman"/>
          <w:b w:val="0"/>
          <w:spacing w:val="-4"/>
          <w:sz w:val="28"/>
          <w:szCs w:val="28"/>
          <w:highlight w:val="none"/>
        </w:rPr>
        <w:fldChar w:fldCharType="separate"/>
      </w:r>
      <w:r>
        <w:rPr>
          <w:rStyle w:val="17"/>
          <w:rFonts w:hint="eastAsia" w:ascii="仿宋_GB2312" w:hAnsi="楷体" w:eastAsia="仿宋_GB2312" w:cs="Times New Roman"/>
          <w:b w:val="0"/>
          <w:spacing w:val="-4"/>
          <w:sz w:val="28"/>
          <w:szCs w:val="28"/>
          <w:highlight w:val="none"/>
        </w:rPr>
        <w:t>①</w:t>
      </w:r>
      <w:r>
        <w:rPr>
          <w:rStyle w:val="17"/>
          <w:rFonts w:hint="eastAsia" w:ascii="仿宋_GB2312" w:hAnsi="楷体" w:eastAsia="仿宋_GB2312" w:cs="Times New Roman"/>
          <w:b w:val="0"/>
          <w:spacing w:val="-4"/>
          <w:sz w:val="28"/>
          <w:szCs w:val="28"/>
          <w:highlight w:val="none"/>
        </w:rPr>
        <w:fldChar w:fldCharType="end"/>
      </w:r>
      <w:r>
        <w:rPr>
          <w:rStyle w:val="17"/>
          <w:rFonts w:hint="eastAsia" w:ascii="仿宋_GB2312" w:hAnsi="楷体" w:eastAsia="仿宋_GB2312" w:cs="Times New Roman"/>
          <w:b w:val="0"/>
          <w:spacing w:val="-4"/>
          <w:sz w:val="28"/>
          <w:szCs w:val="28"/>
          <w:highlight w:val="none"/>
        </w:rPr>
        <w:t>绩效目标的设定情况。重点评价绩效目标设立的充分性、明确性、合理性以及细化程度。</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fldChar w:fldCharType="begin"/>
      </w:r>
      <w:r>
        <w:rPr>
          <w:rStyle w:val="17"/>
          <w:rFonts w:hint="eastAsia" w:ascii="仿宋_GB2312" w:hAnsi="楷体" w:eastAsia="仿宋_GB2312" w:cs="Times New Roman"/>
          <w:b w:val="0"/>
          <w:spacing w:val="-4"/>
          <w:sz w:val="28"/>
          <w:szCs w:val="28"/>
          <w:highlight w:val="none"/>
        </w:rPr>
        <w:instrText xml:space="preserve"> = 2 \* GB3 </w:instrText>
      </w:r>
      <w:r>
        <w:rPr>
          <w:rStyle w:val="17"/>
          <w:rFonts w:hint="eastAsia" w:ascii="仿宋_GB2312" w:hAnsi="楷体" w:eastAsia="仿宋_GB2312" w:cs="Times New Roman"/>
          <w:b w:val="0"/>
          <w:spacing w:val="-4"/>
          <w:sz w:val="28"/>
          <w:szCs w:val="28"/>
          <w:highlight w:val="none"/>
        </w:rPr>
        <w:fldChar w:fldCharType="separate"/>
      </w:r>
      <w:r>
        <w:rPr>
          <w:rStyle w:val="17"/>
          <w:rFonts w:hint="eastAsia" w:ascii="仿宋_GB2312" w:hAnsi="楷体" w:eastAsia="仿宋_GB2312" w:cs="Times New Roman"/>
          <w:b w:val="0"/>
          <w:spacing w:val="-4"/>
          <w:sz w:val="28"/>
          <w:szCs w:val="28"/>
          <w:highlight w:val="none"/>
        </w:rPr>
        <w:t>②</w:t>
      </w:r>
      <w:r>
        <w:rPr>
          <w:rStyle w:val="17"/>
          <w:rFonts w:hint="eastAsia" w:ascii="仿宋_GB2312" w:hAnsi="楷体" w:eastAsia="仿宋_GB2312" w:cs="Times New Roman"/>
          <w:b w:val="0"/>
          <w:spacing w:val="-4"/>
          <w:sz w:val="28"/>
          <w:szCs w:val="28"/>
          <w:highlight w:val="none"/>
        </w:rPr>
        <w:fldChar w:fldCharType="end"/>
      </w:r>
      <w:r>
        <w:rPr>
          <w:rStyle w:val="17"/>
          <w:rFonts w:hint="eastAsia" w:ascii="仿宋_GB2312" w:hAnsi="楷体" w:eastAsia="仿宋_GB2312" w:cs="Times New Roman"/>
          <w:b w:val="0"/>
          <w:spacing w:val="-4"/>
          <w:sz w:val="28"/>
          <w:szCs w:val="28"/>
          <w:highlight w:val="none"/>
        </w:rPr>
        <w:t>资金投入和使用情况。重点评价资金分配过程、投入方式、资金到位、预算执行和结果。</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fldChar w:fldCharType="begin"/>
      </w:r>
      <w:r>
        <w:rPr>
          <w:rStyle w:val="17"/>
          <w:rFonts w:hint="eastAsia" w:ascii="仿宋_GB2312" w:hAnsi="楷体" w:eastAsia="仿宋_GB2312" w:cs="Times New Roman"/>
          <w:b w:val="0"/>
          <w:spacing w:val="-4"/>
          <w:sz w:val="28"/>
          <w:szCs w:val="28"/>
          <w:highlight w:val="none"/>
        </w:rPr>
        <w:instrText xml:space="preserve"> = 3 \* GB3 </w:instrText>
      </w:r>
      <w:r>
        <w:rPr>
          <w:rStyle w:val="17"/>
          <w:rFonts w:hint="eastAsia" w:ascii="仿宋_GB2312" w:hAnsi="楷体" w:eastAsia="仿宋_GB2312" w:cs="Times New Roman"/>
          <w:b w:val="0"/>
          <w:spacing w:val="-4"/>
          <w:sz w:val="28"/>
          <w:szCs w:val="28"/>
          <w:highlight w:val="none"/>
        </w:rPr>
        <w:fldChar w:fldCharType="separate"/>
      </w:r>
      <w:r>
        <w:rPr>
          <w:rStyle w:val="17"/>
          <w:rFonts w:hint="eastAsia" w:ascii="仿宋_GB2312" w:hAnsi="楷体" w:eastAsia="仿宋_GB2312" w:cs="Times New Roman"/>
          <w:b w:val="0"/>
          <w:spacing w:val="-4"/>
          <w:sz w:val="28"/>
          <w:szCs w:val="28"/>
          <w:highlight w:val="none"/>
        </w:rPr>
        <w:t>③</w:t>
      </w:r>
      <w:r>
        <w:rPr>
          <w:rStyle w:val="17"/>
          <w:rFonts w:hint="eastAsia" w:ascii="仿宋_GB2312" w:hAnsi="楷体" w:eastAsia="仿宋_GB2312" w:cs="Times New Roman"/>
          <w:b w:val="0"/>
          <w:spacing w:val="-4"/>
          <w:sz w:val="28"/>
          <w:szCs w:val="28"/>
          <w:highlight w:val="none"/>
        </w:rPr>
        <w:fldChar w:fldCharType="end"/>
      </w:r>
      <w:r>
        <w:rPr>
          <w:rStyle w:val="17"/>
          <w:rFonts w:hint="eastAsia" w:ascii="仿宋_GB2312" w:hAnsi="楷体" w:eastAsia="仿宋_GB2312" w:cs="Times New Roman"/>
          <w:b w:val="0"/>
          <w:spacing w:val="-4"/>
          <w:sz w:val="28"/>
          <w:szCs w:val="28"/>
          <w:highlight w:val="none"/>
        </w:rPr>
        <w:t>为实现绩效目标制定的制度、采取的措施等。包括项目管理制度、财务管理制度、资产管理制度和绩效跟踪管理措施等。</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fldChar w:fldCharType="begin"/>
      </w:r>
      <w:r>
        <w:rPr>
          <w:rStyle w:val="17"/>
          <w:rFonts w:hint="eastAsia" w:ascii="仿宋_GB2312" w:hAnsi="楷体" w:eastAsia="仿宋_GB2312" w:cs="Times New Roman"/>
          <w:b w:val="0"/>
          <w:spacing w:val="-4"/>
          <w:sz w:val="28"/>
          <w:szCs w:val="28"/>
          <w:highlight w:val="none"/>
        </w:rPr>
        <w:instrText xml:space="preserve"> = 4 \* GB3 </w:instrText>
      </w:r>
      <w:r>
        <w:rPr>
          <w:rStyle w:val="17"/>
          <w:rFonts w:hint="eastAsia" w:ascii="仿宋_GB2312" w:hAnsi="楷体" w:eastAsia="仿宋_GB2312" w:cs="Times New Roman"/>
          <w:b w:val="0"/>
          <w:spacing w:val="-4"/>
          <w:sz w:val="28"/>
          <w:szCs w:val="28"/>
          <w:highlight w:val="none"/>
        </w:rPr>
        <w:fldChar w:fldCharType="separate"/>
      </w:r>
      <w:r>
        <w:rPr>
          <w:rStyle w:val="17"/>
          <w:rFonts w:hint="eastAsia" w:ascii="仿宋_GB2312" w:hAnsi="楷体" w:eastAsia="仿宋_GB2312" w:cs="Times New Roman"/>
          <w:b w:val="0"/>
          <w:spacing w:val="-4"/>
          <w:sz w:val="28"/>
          <w:szCs w:val="28"/>
          <w:highlight w:val="none"/>
        </w:rPr>
        <w:t>④</w:t>
      </w:r>
      <w:r>
        <w:rPr>
          <w:rStyle w:val="17"/>
          <w:rFonts w:hint="eastAsia" w:ascii="仿宋_GB2312" w:hAnsi="楷体" w:eastAsia="仿宋_GB2312" w:cs="Times New Roman"/>
          <w:b w:val="0"/>
          <w:spacing w:val="-4"/>
          <w:sz w:val="28"/>
          <w:szCs w:val="28"/>
          <w:highlight w:val="none"/>
        </w:rPr>
        <w:fldChar w:fldCharType="end"/>
      </w:r>
      <w:r>
        <w:rPr>
          <w:rStyle w:val="17"/>
          <w:rFonts w:hint="eastAsia" w:ascii="仿宋_GB2312" w:hAnsi="楷体" w:eastAsia="仿宋_GB2312" w:cs="Times New Roman"/>
          <w:b w:val="0"/>
          <w:spacing w:val="-4"/>
          <w:sz w:val="28"/>
          <w:szCs w:val="28"/>
          <w:highlight w:val="none"/>
        </w:rPr>
        <w:t>绩效目标的实现程度和效果。绩效目标的实现程度包括产出数量、产出质量、产出时效和产出成本。效果包括经济效益、社会效益、生态效益、可持续影响以及服务对象满意度等。</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（3）整体支出评价涉及对象及范围</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涉及对象：本次评价对象是特克斯县马场寄宿制小学所有财政资金支出活动。</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t>整体支出评价范围：</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r>
        <w:rPr>
          <w:rStyle w:val="17"/>
          <w:rFonts w:hint="eastAsia" w:ascii="仿宋_GB2312" w:hAnsi="楷体" w:eastAsia="仿宋_GB2312" w:cs="Times New Roman"/>
          <w:b w:val="0"/>
          <w:spacing w:val="-4"/>
          <w:sz w:val="28"/>
          <w:szCs w:val="28"/>
          <w:highlight w:val="none"/>
        </w:rPr>
        <w:fldChar w:fldCharType="begin"/>
      </w:r>
      <w:r>
        <w:rPr>
          <w:rStyle w:val="17"/>
          <w:rFonts w:hint="eastAsia" w:ascii="仿宋_GB2312" w:hAnsi="楷体" w:eastAsia="仿宋_GB2312" w:cs="Times New Roman"/>
          <w:b w:val="0"/>
          <w:spacing w:val="-4"/>
          <w:sz w:val="28"/>
          <w:szCs w:val="28"/>
          <w:highlight w:val="none"/>
        </w:rPr>
        <w:instrText xml:space="preserve"> = 1 \* GB3 </w:instrText>
      </w:r>
      <w:r>
        <w:rPr>
          <w:rStyle w:val="17"/>
          <w:rFonts w:hint="eastAsia" w:ascii="仿宋_GB2312" w:hAnsi="楷体" w:eastAsia="仿宋_GB2312" w:cs="Times New Roman"/>
          <w:b w:val="0"/>
          <w:spacing w:val="-4"/>
          <w:sz w:val="28"/>
          <w:szCs w:val="28"/>
          <w:highlight w:val="none"/>
        </w:rPr>
        <w:fldChar w:fldCharType="separate"/>
      </w:r>
      <w:r>
        <w:rPr>
          <w:rStyle w:val="17"/>
          <w:rFonts w:hint="eastAsia" w:ascii="仿宋_GB2312" w:hAnsi="楷体" w:eastAsia="仿宋_GB2312" w:cs="Times New Roman"/>
          <w:b w:val="0"/>
          <w:spacing w:val="-4"/>
          <w:sz w:val="28"/>
          <w:szCs w:val="28"/>
          <w:highlight w:val="none"/>
        </w:rPr>
        <w:t>①</w:t>
      </w:r>
      <w:r>
        <w:rPr>
          <w:rStyle w:val="17"/>
          <w:rFonts w:hint="eastAsia" w:ascii="仿宋_GB2312" w:hAnsi="楷体" w:eastAsia="仿宋_GB2312" w:cs="Times New Roman"/>
          <w:b w:val="0"/>
          <w:spacing w:val="-4"/>
          <w:sz w:val="28"/>
          <w:szCs w:val="28"/>
          <w:highlight w:val="none"/>
        </w:rPr>
        <w:fldChar w:fldCharType="end"/>
      </w:r>
      <w:r>
        <w:rPr>
          <w:rStyle w:val="17"/>
          <w:rFonts w:hint="eastAsia" w:ascii="仿宋_GB2312" w:hAnsi="楷体" w:eastAsia="仿宋_GB2312" w:cs="Times New Roman"/>
          <w:b w:val="0"/>
          <w:spacing w:val="-4"/>
          <w:sz w:val="28"/>
          <w:szCs w:val="28"/>
          <w:highlight w:val="none"/>
        </w:rPr>
        <w:t>基本支出1607.53万元，其中：工资福利支出、商品和服务支出、对个人和家庭的补助支出。</w:t>
      </w:r>
    </w:p>
    <w:p>
      <w:pPr>
        <w:spacing w:line="360" w:lineRule="auto"/>
        <w:ind w:firstLine="544" w:firstLineChars="200"/>
        <w:rPr>
          <w:rStyle w:val="17"/>
          <w:rFonts w:hint="eastAsia" w:ascii="仿宋_GB2312" w:hAnsi="楷体" w:eastAsia="仿宋_GB2312" w:cs="Times New Roman"/>
          <w:b w:val="0"/>
          <w:spacing w:val="-4"/>
          <w:sz w:val="28"/>
          <w:szCs w:val="28"/>
          <w:highlight w:val="none"/>
        </w:rPr>
      </w:pPr>
      <w:bookmarkStart w:id="10" w:name="_Toc70450297"/>
      <w:r>
        <w:rPr>
          <w:rStyle w:val="17"/>
          <w:rFonts w:hint="eastAsia" w:ascii="仿宋_GB2312" w:hAnsi="楷体" w:eastAsia="仿宋_GB2312" w:cs="Times New Roman"/>
          <w:b w:val="0"/>
          <w:spacing w:val="-4"/>
          <w:sz w:val="28"/>
          <w:szCs w:val="28"/>
          <w:highlight w:val="none"/>
        </w:rPr>
        <w:fldChar w:fldCharType="begin"/>
      </w:r>
      <w:r>
        <w:rPr>
          <w:rStyle w:val="17"/>
          <w:rFonts w:hint="eastAsia" w:ascii="仿宋_GB2312" w:hAnsi="楷体" w:eastAsia="仿宋_GB2312" w:cs="Times New Roman"/>
          <w:b w:val="0"/>
          <w:spacing w:val="-4"/>
          <w:sz w:val="28"/>
          <w:szCs w:val="28"/>
          <w:highlight w:val="none"/>
        </w:rPr>
        <w:instrText xml:space="preserve"> = 2 \* GB3 </w:instrText>
      </w:r>
      <w:r>
        <w:rPr>
          <w:rStyle w:val="17"/>
          <w:rFonts w:hint="eastAsia" w:ascii="仿宋_GB2312" w:hAnsi="楷体" w:eastAsia="仿宋_GB2312" w:cs="Times New Roman"/>
          <w:b w:val="0"/>
          <w:spacing w:val="-4"/>
          <w:sz w:val="28"/>
          <w:szCs w:val="28"/>
          <w:highlight w:val="none"/>
        </w:rPr>
        <w:fldChar w:fldCharType="separate"/>
      </w:r>
      <w:r>
        <w:rPr>
          <w:rStyle w:val="17"/>
          <w:rFonts w:hint="eastAsia" w:ascii="仿宋_GB2312" w:hAnsi="楷体" w:eastAsia="仿宋_GB2312" w:cs="Times New Roman"/>
          <w:b w:val="0"/>
          <w:spacing w:val="-4"/>
          <w:sz w:val="28"/>
          <w:szCs w:val="28"/>
          <w:highlight w:val="none"/>
        </w:rPr>
        <w:t>②</w:t>
      </w:r>
      <w:r>
        <w:rPr>
          <w:rStyle w:val="17"/>
          <w:rFonts w:hint="eastAsia" w:ascii="仿宋_GB2312" w:hAnsi="楷体" w:eastAsia="仿宋_GB2312" w:cs="Times New Roman"/>
          <w:b w:val="0"/>
          <w:spacing w:val="-4"/>
          <w:sz w:val="28"/>
          <w:szCs w:val="28"/>
          <w:highlight w:val="none"/>
        </w:rPr>
        <w:fldChar w:fldCharType="end"/>
      </w:r>
      <w:r>
        <w:rPr>
          <w:rStyle w:val="17"/>
          <w:rFonts w:hint="eastAsia" w:ascii="仿宋_GB2312" w:hAnsi="楷体" w:eastAsia="仿宋_GB2312" w:cs="Times New Roman"/>
          <w:b w:val="0"/>
          <w:spacing w:val="-4"/>
          <w:sz w:val="28"/>
          <w:szCs w:val="28"/>
          <w:highlight w:val="none"/>
        </w:rPr>
        <w:t>项目支出0万元。</w:t>
      </w:r>
    </w:p>
    <w:p>
      <w:pPr>
        <w:pStyle w:val="3"/>
        <w:spacing w:line="360" w:lineRule="auto"/>
        <w:rPr>
          <w:rFonts w:hint="eastAsia" w:ascii="仿宋" w:hAnsi="仿宋" w:eastAsia="仿宋"/>
          <w:sz w:val="36"/>
          <w:szCs w:val="36"/>
          <w:lang w:bidi="ar"/>
        </w:rPr>
      </w:pPr>
      <w:r>
        <w:rPr>
          <w:rFonts w:hint="eastAsia" w:ascii="仿宋" w:hAnsi="仿宋" w:eastAsia="仿宋"/>
          <w:sz w:val="36"/>
          <w:szCs w:val="36"/>
          <w:lang w:bidi="ar"/>
        </w:rPr>
        <w:t>二、部门单位整体支出管理及使用情况</w:t>
      </w:r>
    </w:p>
    <w:p>
      <w:pPr>
        <w:pStyle w:val="4"/>
        <w:spacing w:line="360" w:lineRule="auto"/>
        <w:rPr>
          <w:rStyle w:val="17"/>
          <w:rFonts w:hint="eastAsia" w:ascii="仿宋" w:hAnsi="仿宋" w:eastAsia="仿宋" w:cs="Times New Roman"/>
          <w:b/>
          <w:bCs/>
        </w:rPr>
      </w:pPr>
      <w:r>
        <w:rPr>
          <w:rStyle w:val="17"/>
          <w:rFonts w:hint="eastAsia" w:ascii="仿宋" w:hAnsi="仿宋" w:eastAsia="仿宋" w:cs="Times New Roman"/>
          <w:b/>
          <w:bCs/>
        </w:rPr>
        <w:t>（一）预算管理</w:t>
      </w:r>
    </w:p>
    <w:p>
      <w:pPr>
        <w:pStyle w:val="5"/>
        <w:spacing w:line="360" w:lineRule="auto"/>
        <w:ind w:firstLine="562" w:firstLineChars="200"/>
        <w:rPr>
          <w:rStyle w:val="17"/>
          <w:rFonts w:ascii="仿宋" w:hAnsi="仿宋" w:eastAsia="仿宋" w:cs="Times New Roman"/>
          <w:b/>
          <w:bCs/>
        </w:rPr>
      </w:pPr>
      <w:bookmarkStart w:id="11" w:name="_Toc70450299"/>
      <w:bookmarkStart w:id="12" w:name="_Toc70450300"/>
      <w:r>
        <w:rPr>
          <w:rStyle w:val="17"/>
          <w:rFonts w:ascii="仿宋" w:hAnsi="仿宋" w:eastAsia="仿宋" w:cs="Times New Roman"/>
          <w:b/>
          <w:bCs/>
        </w:rPr>
        <w:t>1</w:t>
      </w:r>
      <w:r>
        <w:rPr>
          <w:rStyle w:val="17"/>
          <w:rFonts w:hint="eastAsia" w:ascii="仿宋" w:hAnsi="仿宋" w:eastAsia="仿宋" w:cs="Times New Roman"/>
          <w:b/>
          <w:bCs/>
        </w:rPr>
        <w:t>、预算编制管理</w:t>
      </w:r>
      <w:bookmarkEnd w:id="11"/>
    </w:p>
    <w:p>
      <w:pPr>
        <w:spacing w:line="360" w:lineRule="auto"/>
        <w:ind w:firstLine="560" w:firstLineChars="200"/>
        <w:rPr>
          <w:rFonts w:hint="eastAsia" w:ascii="仿宋_GB2312" w:eastAsia="仿宋_GB2312"/>
          <w:color w:val="auto"/>
          <w:sz w:val="28"/>
          <w:szCs w:val="36"/>
        </w:rPr>
      </w:pPr>
      <w:r>
        <w:rPr>
          <w:rFonts w:hint="eastAsia" w:ascii="仿宋_GB2312" w:eastAsia="仿宋_GB2312"/>
          <w:color w:val="auto"/>
          <w:sz w:val="28"/>
          <w:szCs w:val="36"/>
        </w:rPr>
        <w:t>特克斯县马场寄宿制小学严格按照财政部门预算编制与预算调整的工作要求，在预算编制、分配依据充分的条件下，切实做好“先定目标再编预算”，确保预算分配结果合理。同时按照特克斯县人民政府要求，部门预算及绩效目标在特克斯县人民政府政务网站公开，</w:t>
      </w:r>
      <w:r>
        <w:rPr>
          <w:rFonts w:hint="eastAsia" w:ascii="仿宋_GB2312" w:eastAsia="仿宋_GB2312"/>
          <w:color w:val="auto"/>
          <w:sz w:val="28"/>
          <w:szCs w:val="36"/>
          <w:lang w:val="zh-CN"/>
        </w:rPr>
        <w:t>广泛接受社会监督。</w:t>
      </w:r>
    </w:p>
    <w:p>
      <w:pPr>
        <w:pStyle w:val="5"/>
        <w:spacing w:line="360" w:lineRule="auto"/>
        <w:ind w:firstLine="562" w:firstLineChars="200"/>
        <w:rPr>
          <w:rStyle w:val="17"/>
          <w:rFonts w:ascii="仿宋" w:hAnsi="仿宋" w:eastAsia="仿宋" w:cs="Times New Roman"/>
          <w:b/>
          <w:bCs/>
        </w:rPr>
      </w:pPr>
      <w:r>
        <w:rPr>
          <w:rStyle w:val="17"/>
          <w:rFonts w:hint="eastAsia" w:ascii="仿宋" w:hAnsi="仿宋" w:eastAsia="仿宋" w:cs="Times New Roman"/>
          <w:b/>
          <w:bCs/>
        </w:rPr>
        <w:t>2</w:t>
      </w:r>
      <w:r>
        <w:rPr>
          <w:rStyle w:val="17"/>
          <w:rFonts w:ascii="仿宋" w:hAnsi="仿宋" w:eastAsia="仿宋" w:cs="Times New Roman"/>
          <w:b/>
          <w:bCs/>
        </w:rPr>
        <w:t>、预算</w:t>
      </w:r>
      <w:r>
        <w:rPr>
          <w:rStyle w:val="17"/>
          <w:rFonts w:hint="eastAsia" w:ascii="仿宋" w:hAnsi="仿宋" w:eastAsia="仿宋" w:cs="Times New Roman"/>
          <w:b/>
          <w:bCs/>
        </w:rPr>
        <w:t>支出</w:t>
      </w:r>
      <w:r>
        <w:rPr>
          <w:rStyle w:val="17"/>
          <w:rFonts w:ascii="仿宋" w:hAnsi="仿宋" w:eastAsia="仿宋" w:cs="Times New Roman"/>
          <w:b/>
          <w:bCs/>
        </w:rPr>
        <w:t>管理</w:t>
      </w:r>
      <w:bookmarkEnd w:id="12"/>
    </w:p>
    <w:p>
      <w:pPr>
        <w:spacing w:line="360" w:lineRule="auto"/>
        <w:ind w:firstLine="560" w:firstLineChars="200"/>
        <w:rPr>
          <w:rStyle w:val="17"/>
          <w:rFonts w:asciiTheme="majorEastAsia" w:hAnsiTheme="majorEastAsia" w:eastAsiaTheme="majorEastAsia"/>
          <w:b w:val="0"/>
          <w:bCs w:val="0"/>
        </w:rPr>
      </w:pPr>
      <w:r>
        <w:rPr>
          <w:rFonts w:hint="eastAsia" w:ascii="仿宋_GB2312" w:eastAsia="仿宋_GB2312"/>
          <w:color w:val="auto"/>
          <w:sz w:val="28"/>
          <w:szCs w:val="36"/>
        </w:rPr>
        <w:t>特克斯县马场寄宿制小学按照财政要求基本支出分月度申报资金使用计划，由财政部门按照进度每月按期拨付，人员支出按照工资计划发放工资；依照特克斯县马场寄宿制小学《财务管理制度》相关规定和特克斯县马场寄宿制小学《财务管理制度》规定流程，资金支出按照我内控体系中设定的流程申报审批进行；项目支出属于政府采购的，按照局特克斯县马场寄宿制小学《政府采购与招标管理办法》组织人员制定采购计划，按照财政局采购部门批复，进行公开招标、邀请招标等方式进行；属于非政府采购的项目，按照“三重一大”制度规定，重大项目支出上党组会研究决定。</w:t>
      </w:r>
    </w:p>
    <w:bookmarkEnd w:id="10"/>
    <w:p>
      <w:pPr>
        <w:pStyle w:val="4"/>
        <w:spacing w:line="360" w:lineRule="auto"/>
        <w:rPr>
          <w:rStyle w:val="17"/>
          <w:rFonts w:hint="eastAsia" w:ascii="Times New Roman" w:hAnsi="Times New Roman" w:eastAsia="宋体" w:cs="Times New Roman"/>
          <w:b/>
          <w:bCs/>
          <w:sz w:val="28"/>
          <w:szCs w:val="28"/>
        </w:rPr>
      </w:pPr>
      <w:bookmarkStart w:id="13" w:name="_Toc70450301"/>
      <w:r>
        <w:rPr>
          <w:rStyle w:val="17"/>
          <w:rFonts w:hint="eastAsia" w:ascii="Times New Roman" w:hAnsi="Times New Roman" w:eastAsia="宋体" w:cs="Times New Roman"/>
          <w:b/>
          <w:bCs/>
          <w:sz w:val="28"/>
          <w:szCs w:val="28"/>
        </w:rPr>
        <w:t>（二）基本支出管理及使用情况</w:t>
      </w:r>
      <w:bookmarkEnd w:id="13"/>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2021年基本支出预算安排 1607.53万元，实际到位 1607.53 万元,实际支出1607.53万元，占总支出的100％，其中：工资福利支出 1415.53万元、商品和服务支出162.37万元、对个人和家庭的补助   29.63 万元、主要用于对个人和家庭的补助。资本性支出0万元。</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2021年基本支出比上年1568.7万元,增加38.83万元，上升2.4</w:t>
      </w:r>
      <w:r>
        <w:rPr>
          <w:rStyle w:val="17"/>
          <w:rFonts w:hint="eastAsia" w:ascii="仿宋_GB2312" w:hAnsi="楷体" w:eastAsia="仿宋_GB2312" w:cs="Times New Roman"/>
          <w:b w:val="0"/>
          <w:spacing w:val="-4"/>
          <w:sz w:val="28"/>
          <w:szCs w:val="28"/>
          <w:lang w:val="en-US" w:eastAsia="zh-CN"/>
        </w:rPr>
        <w:t>8</w:t>
      </w:r>
      <w:r>
        <w:rPr>
          <w:rStyle w:val="17"/>
          <w:rFonts w:hint="eastAsia" w:ascii="仿宋_GB2312" w:hAnsi="楷体" w:eastAsia="仿宋_GB2312" w:cs="Times New Roman"/>
          <w:b w:val="0"/>
          <w:spacing w:val="-4"/>
          <w:sz w:val="28"/>
          <w:szCs w:val="28"/>
        </w:rPr>
        <w:t>%，支出上升的主要原因是人员调整，特岗入编，人数增加，兑现了部分人员职称工资，2021年3月绩效调标，发放2018年.2020年绩效奖金及2020年综合治理奖。</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2021年一般公共预算“三公”经费数为0万元，其中：因公出国（境）费0万元，公务用车购置0万元，公务用车运行费0万元，公务接待费0万元。</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2021年一般公共预算“三公”经费比上年增加0万元，其中：因公出国（境）费增加0万元，主要原因是：2021年我单位未安排三公经费预算；公务用车购置费为0，2021年我单位未安排预算。公务用车运行费增加0万元，主要原因是：2021年我单位未安排预算；公务接待费增加0万元，主要原因是：2021年我单位未安排预算。</w:t>
      </w:r>
    </w:p>
    <w:p>
      <w:pPr>
        <w:pStyle w:val="4"/>
        <w:spacing w:line="360" w:lineRule="auto"/>
        <w:rPr>
          <w:rStyle w:val="17"/>
          <w:rFonts w:hint="eastAsia" w:ascii="仿宋" w:hAnsi="仿宋" w:eastAsia="仿宋" w:cs="Times New Roman"/>
          <w:b/>
          <w:bCs/>
        </w:rPr>
      </w:pPr>
      <w:bookmarkStart w:id="14" w:name="_Toc70450302"/>
      <w:bookmarkStart w:id="15" w:name="_Toc70450303"/>
      <w:r>
        <w:rPr>
          <w:rStyle w:val="17"/>
          <w:rFonts w:hint="eastAsia" w:ascii="仿宋" w:hAnsi="仿宋" w:eastAsia="仿宋" w:cs="Times New Roman"/>
          <w:b/>
          <w:bCs/>
        </w:rPr>
        <w:t>（三）专项支出管理及使用情况</w:t>
      </w:r>
      <w:bookmarkEnd w:id="14"/>
    </w:p>
    <w:p>
      <w:pPr>
        <w:pStyle w:val="5"/>
        <w:spacing w:line="360" w:lineRule="auto"/>
        <w:ind w:firstLine="562" w:firstLineChars="200"/>
        <w:rPr>
          <w:rStyle w:val="17"/>
          <w:rFonts w:hint="eastAsia" w:ascii="仿宋" w:hAnsi="仿宋" w:eastAsia="仿宋" w:cs="Times New Roman"/>
          <w:b/>
          <w:bCs/>
        </w:rPr>
      </w:pPr>
      <w:r>
        <w:rPr>
          <w:rStyle w:val="17"/>
          <w:rFonts w:hint="eastAsia" w:ascii="仿宋" w:hAnsi="仿宋" w:eastAsia="仿宋" w:cs="Times New Roman"/>
          <w:b/>
          <w:bCs/>
        </w:rPr>
        <w:t>1、专项资金安排落实、总投入等情况分析</w:t>
      </w:r>
    </w:p>
    <w:p>
      <w:pPr>
        <w:spacing w:line="360" w:lineRule="auto"/>
        <w:ind w:firstLine="492" w:firstLineChars="181"/>
        <w:rPr>
          <w:rStyle w:val="17"/>
          <w:rFonts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2021年预算安排专项资金 0万元，实际到位0万元, 到位率0％,其中:中央转移支付项目资金0万元，自治区资金0万元，本级安排0万元。</w:t>
      </w:r>
    </w:p>
    <w:p>
      <w:pPr>
        <w:pStyle w:val="5"/>
        <w:spacing w:line="360" w:lineRule="auto"/>
        <w:ind w:firstLine="562" w:firstLineChars="200"/>
        <w:rPr>
          <w:rStyle w:val="17"/>
          <w:rFonts w:ascii="仿宋" w:hAnsi="仿宋" w:eastAsia="仿宋"/>
          <w:b/>
          <w:bCs/>
        </w:rPr>
      </w:pPr>
      <w:bookmarkStart w:id="16" w:name="_Toc70450304"/>
      <w:r>
        <w:rPr>
          <w:rStyle w:val="17"/>
          <w:rFonts w:hint="eastAsia" w:ascii="仿宋" w:hAnsi="仿宋" w:eastAsia="仿宋"/>
          <w:b/>
          <w:bCs/>
        </w:rPr>
        <w:t>2、专项资金实际使用情况</w:t>
      </w:r>
      <w:bookmarkEnd w:id="16"/>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2021年专项资金支出0万元，占总支出的0%，其中2021年专项项目支出比上年0万元增加0万元，上升0 %。支出上升的主要原因是：2021年我单位未安排资金支出。</w:t>
      </w:r>
    </w:p>
    <w:p>
      <w:pPr>
        <w:pStyle w:val="5"/>
        <w:spacing w:line="360" w:lineRule="auto"/>
        <w:ind w:firstLine="562" w:firstLineChars="200"/>
        <w:rPr>
          <w:rStyle w:val="17"/>
          <w:rFonts w:ascii="仿宋" w:hAnsi="仿宋" w:eastAsia="仿宋"/>
          <w:b/>
          <w:bCs/>
        </w:rPr>
      </w:pPr>
      <w:bookmarkStart w:id="17" w:name="_Toc70450305"/>
      <w:r>
        <w:rPr>
          <w:rStyle w:val="17"/>
          <w:rFonts w:hint="eastAsia" w:ascii="仿宋" w:hAnsi="仿宋" w:eastAsia="仿宋"/>
          <w:b/>
          <w:bCs/>
        </w:rPr>
        <w:t>3、专项资金管理情况</w:t>
      </w:r>
      <w:bookmarkEnd w:id="17"/>
    </w:p>
    <w:p>
      <w:pPr>
        <w:spacing w:line="360" w:lineRule="auto"/>
        <w:ind w:firstLine="492" w:firstLineChars="181"/>
        <w:rPr>
          <w:rStyle w:val="17"/>
          <w:rFonts w:hint="eastAsia" w:ascii="仿宋_GB2312" w:hAnsi="楷体" w:eastAsia="仿宋_GB2312" w:cs="Times New Roman"/>
          <w:b w:val="0"/>
          <w:spacing w:val="-4"/>
          <w:sz w:val="28"/>
          <w:szCs w:val="28"/>
        </w:rPr>
      </w:pPr>
      <w:bookmarkStart w:id="18" w:name="_Toc70450306"/>
      <w:r>
        <w:rPr>
          <w:rStyle w:val="17"/>
          <w:rFonts w:hint="eastAsia" w:ascii="仿宋_GB2312" w:hAnsi="楷体" w:eastAsia="仿宋_GB2312" w:cs="Times New Roman"/>
          <w:b w:val="0"/>
          <w:spacing w:val="-4"/>
          <w:sz w:val="28"/>
          <w:szCs w:val="28"/>
        </w:rPr>
        <w:t>为规范专项资金使用，提高专项资金使用效益，我单位主要采取四项措施。</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一是制订专项资金管理制度；二是各专项资金建立了专帐；三是制订了项目实施方案；四是认真组织项目验收。切实确保专项资金都做到了专款专用。其中：</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1）制定了特克斯县马场寄宿制小学专项资金管理办法，各项资金使用审批流程均按规定办理。涉及“三重一大”内容，严格按照规定提请局党组会审议决定，包括项目资金分配、重大项目确定、大额资金支付等。</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（2）建立特克斯县马场寄宿制小学专项资金专帐，做到有据可依，有据可查。</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（3）制订了特克斯县马场寄宿制小学项目实施方案，确保项目顺利进行。</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（4）认真组织特克斯县马场寄宿制小学项目验收，确保项目顺利进行。</w:t>
      </w:r>
    </w:p>
    <w:p>
      <w:pPr>
        <w:spacing w:line="360" w:lineRule="auto"/>
        <w:ind w:firstLine="492" w:firstLineChars="181"/>
        <w:rPr>
          <w:rStyle w:val="17"/>
          <w:rFonts w:hint="eastAsia" w:ascii="仿宋_GB2312" w:hAnsi="楷体" w:eastAsia="仿宋_GB2312" w:cs="Times New Roman"/>
          <w:b w:val="0"/>
          <w:spacing w:val="-4"/>
          <w:sz w:val="28"/>
          <w:szCs w:val="28"/>
        </w:rPr>
      </w:pPr>
      <w:r>
        <w:rPr>
          <w:rStyle w:val="17"/>
          <w:rFonts w:hint="eastAsia" w:ascii="仿宋_GB2312" w:hAnsi="楷体" w:eastAsia="仿宋_GB2312" w:cs="Times New Roman"/>
          <w:b w:val="0"/>
          <w:spacing w:val="-4"/>
          <w:sz w:val="28"/>
          <w:szCs w:val="28"/>
        </w:rPr>
        <w:t>专项资金涉及政府采购项目的，按照局《特克斯县马场寄宿制小学采购与招标管理办法》组织人员制定采购计划，按照财政局采购部门批复，进行公开招标、邀请招标等方式进行。</w:t>
      </w:r>
    </w:p>
    <w:bookmarkEnd w:id="15"/>
    <w:bookmarkEnd w:id="18"/>
    <w:p>
      <w:pPr>
        <w:pStyle w:val="3"/>
        <w:spacing w:line="360" w:lineRule="auto"/>
        <w:rPr>
          <w:rFonts w:asciiTheme="majorEastAsia" w:hAnsiTheme="majorEastAsia"/>
          <w:sz w:val="36"/>
          <w:szCs w:val="36"/>
        </w:rPr>
      </w:pPr>
      <w:bookmarkStart w:id="19" w:name="_Toc70450310"/>
      <w:r>
        <w:rPr>
          <w:rFonts w:hint="eastAsia" w:asciiTheme="majorEastAsia" w:hAnsiTheme="majorEastAsia"/>
          <w:sz w:val="36"/>
          <w:szCs w:val="36"/>
        </w:rPr>
        <w:t>四、资产管理情况</w:t>
      </w:r>
      <w:bookmarkEnd w:id="19"/>
    </w:p>
    <w:p>
      <w:pPr>
        <w:pStyle w:val="4"/>
        <w:spacing w:line="360" w:lineRule="auto"/>
        <w:rPr>
          <w:rStyle w:val="17"/>
          <w:rFonts w:asciiTheme="majorEastAsia" w:hAnsiTheme="majorEastAsia" w:eastAsiaTheme="majorEastAsia"/>
          <w:b/>
          <w:bCs/>
        </w:rPr>
      </w:pPr>
      <w:bookmarkStart w:id="20" w:name="_Toc70450311"/>
      <w:r>
        <w:rPr>
          <w:rStyle w:val="17"/>
          <w:rFonts w:hint="eastAsia" w:asciiTheme="majorEastAsia" w:hAnsiTheme="majorEastAsia" w:eastAsiaTheme="majorEastAsia"/>
          <w:b/>
          <w:bCs/>
        </w:rPr>
        <w:t>（一）资产配置情况</w:t>
      </w:r>
      <w:bookmarkEnd w:id="20"/>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2021年我单位资产总额307.44万元，其中流动资产0  万元，固定资产净值 307.44万元（其中：土地、房屋及构筑物 276.23 万元</w:t>
      </w:r>
      <w:r>
        <w:rPr>
          <w:rStyle w:val="17"/>
          <w:rFonts w:hint="eastAsia" w:ascii="仿宋_GB2312" w:hAnsi="楷体" w:eastAsia="仿宋_GB2312" w:cs="Times New Roman"/>
          <w:b w:val="0"/>
          <w:color w:val="auto"/>
          <w:spacing w:val="-4"/>
          <w:sz w:val="28"/>
          <w:szCs w:val="28"/>
          <w:highlight w:val="none"/>
          <w:lang w:eastAsia="zh-CN"/>
        </w:rPr>
        <w:t>）</w:t>
      </w:r>
      <w:r>
        <w:rPr>
          <w:rStyle w:val="17"/>
          <w:rFonts w:hint="eastAsia" w:ascii="仿宋_GB2312" w:hAnsi="楷体" w:eastAsia="仿宋_GB2312" w:cs="Times New Roman"/>
          <w:b w:val="0"/>
          <w:color w:val="auto"/>
          <w:spacing w:val="-4"/>
          <w:sz w:val="28"/>
          <w:szCs w:val="28"/>
          <w:highlight w:val="none"/>
        </w:rPr>
        <w:t>，占固定资产净值的89.85%；通用设备 1.93 万元，占固定资产净值的0.63%；专用设备9.28 万元，占固定资产净值的3.02%；其他20万元，占固定资产净值的6.5%。</w:t>
      </w:r>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本年度流动资产0万元，比上年增加0万元，原因是：本单位无流动资产。</w:t>
      </w:r>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本年度固定资产307.44万元，比上年增加2.12万元，原因是：通用设备增加。</w:t>
      </w:r>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实际在用固定资产307.44万元，固定资产利用率100%。</w:t>
      </w:r>
    </w:p>
    <w:p>
      <w:pPr>
        <w:pStyle w:val="4"/>
        <w:spacing w:line="360" w:lineRule="auto"/>
        <w:rPr>
          <w:rStyle w:val="17"/>
          <w:rFonts w:hint="eastAsia" w:ascii="仿宋" w:hAnsi="仿宋" w:eastAsia="仿宋" w:cs="Times New Roman"/>
          <w:b/>
          <w:bCs/>
        </w:rPr>
      </w:pPr>
      <w:r>
        <w:rPr>
          <w:rStyle w:val="17"/>
          <w:rFonts w:hint="eastAsia" w:ascii="仿宋" w:hAnsi="仿宋" w:eastAsia="仿宋" w:cs="Times New Roman"/>
          <w:b/>
          <w:bCs/>
        </w:rPr>
        <w:t>（二）资产管理情况</w:t>
      </w:r>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360" w:lineRule="auto"/>
        <w:ind w:firstLine="544" w:firstLineChars="200"/>
        <w:rPr>
          <w:rStyle w:val="17"/>
          <w:rFonts w:asciiTheme="majorEastAsia" w:hAnsiTheme="majorEastAsia" w:eastAsiaTheme="majorEastAsia"/>
          <w:b w:val="0"/>
          <w:bCs w:val="0"/>
          <w:spacing w:val="-4"/>
          <w:sz w:val="28"/>
          <w:szCs w:val="28"/>
        </w:rPr>
      </w:pPr>
      <w:r>
        <w:rPr>
          <w:rStyle w:val="17"/>
          <w:rFonts w:hint="eastAsia" w:ascii="仿宋_GB2312" w:hAnsi="楷体" w:eastAsia="仿宋_GB2312" w:cs="Times New Roman"/>
          <w:b w:val="0"/>
          <w:color w:val="auto"/>
          <w:spacing w:val="-4"/>
          <w:sz w:val="28"/>
          <w:szCs w:val="28"/>
          <w:highlight w:val="none"/>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3"/>
        <w:spacing w:line="360" w:lineRule="auto"/>
        <w:rPr>
          <w:rFonts w:hint="eastAsia" w:ascii="仿宋" w:hAnsi="仿宋" w:eastAsia="仿宋"/>
          <w:sz w:val="36"/>
          <w:szCs w:val="36"/>
          <w:lang w:bidi="ar"/>
        </w:rPr>
      </w:pPr>
      <w:bookmarkStart w:id="21" w:name="_Toc70450313"/>
      <w:r>
        <w:rPr>
          <w:rFonts w:hint="eastAsia" w:ascii="仿宋" w:hAnsi="仿宋" w:eastAsia="仿宋"/>
          <w:sz w:val="36"/>
          <w:szCs w:val="36"/>
          <w:lang w:bidi="ar"/>
        </w:rPr>
        <w:t>五、部门单位整体支出绩效情况</w:t>
      </w:r>
      <w:bookmarkEnd w:id="21"/>
    </w:p>
    <w:p>
      <w:pPr>
        <w:pStyle w:val="4"/>
        <w:spacing w:line="360" w:lineRule="auto"/>
        <w:ind w:firstLine="643" w:firstLineChars="200"/>
        <w:rPr>
          <w:rStyle w:val="17"/>
          <w:rFonts w:hint="eastAsia" w:ascii="仿宋" w:hAnsi="仿宋" w:eastAsia="仿宋" w:cs="Times New Roman"/>
          <w:b/>
          <w:bCs/>
        </w:rPr>
      </w:pPr>
      <w:bookmarkStart w:id="22" w:name="_Toc70450314"/>
      <w:r>
        <w:rPr>
          <w:rStyle w:val="17"/>
          <w:rFonts w:hint="eastAsia" w:ascii="仿宋" w:hAnsi="仿宋" w:eastAsia="仿宋" w:cs="Times New Roman"/>
          <w:b/>
          <w:bCs/>
        </w:rPr>
        <w:t>（一）经济效益评价</w:t>
      </w:r>
      <w:bookmarkEnd w:id="22"/>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2021年度我单位年初预算安排1212.59 万元，年中调整 394.94   万元，截止12月底支出 1607.53  万元，执行率100%。</w:t>
      </w:r>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1、预算资金执行过程中均按照年初预算分配情况均做到专款专用，未出现资金侵、挪占情况。</w:t>
      </w:r>
    </w:p>
    <w:p>
      <w:pPr>
        <w:spacing w:line="360" w:lineRule="auto"/>
        <w:ind w:firstLine="544" w:firstLineChars="200"/>
        <w:rPr>
          <w:rStyle w:val="17"/>
          <w:rFonts w:hint="eastAsia" w:ascii="仿宋_GB2312" w:hAnsi="楷体" w:eastAsia="仿宋_GB2312" w:cs="Times New Roman"/>
          <w:b w:val="0"/>
          <w:color w:val="auto"/>
          <w:spacing w:val="-4"/>
          <w:sz w:val="28"/>
          <w:szCs w:val="28"/>
          <w:highlight w:val="none"/>
        </w:rPr>
      </w:pPr>
      <w:r>
        <w:rPr>
          <w:rStyle w:val="17"/>
          <w:rFonts w:hint="eastAsia" w:ascii="仿宋_GB2312" w:hAnsi="楷体" w:eastAsia="仿宋_GB2312" w:cs="Times New Roman"/>
          <w:b w:val="0"/>
          <w:color w:val="auto"/>
          <w:spacing w:val="-4"/>
          <w:sz w:val="28"/>
          <w:szCs w:val="28"/>
          <w:highlight w:val="none"/>
        </w:rPr>
        <w:t>2、全年按照部门预算进行成本控制，全部控制在厉行节约指标数内。其他支出按财政部门下达的计划实施，全年没有项目超支。</w:t>
      </w:r>
    </w:p>
    <w:p>
      <w:pPr>
        <w:pStyle w:val="4"/>
        <w:spacing w:line="360" w:lineRule="auto"/>
        <w:ind w:firstLine="643" w:firstLineChars="200"/>
        <w:rPr>
          <w:rStyle w:val="17"/>
          <w:rFonts w:asciiTheme="majorEastAsia" w:hAnsiTheme="majorEastAsia" w:eastAsiaTheme="majorEastAsia"/>
          <w:b/>
          <w:bCs/>
        </w:rPr>
      </w:pPr>
      <w:r>
        <w:rPr>
          <w:rStyle w:val="17"/>
          <w:rFonts w:hint="eastAsia" w:asciiTheme="majorEastAsia" w:hAnsiTheme="majorEastAsia" w:eastAsiaTheme="majorEastAsia"/>
          <w:b/>
          <w:bCs/>
        </w:rPr>
        <w:t>（二）效率性评价</w:t>
      </w:r>
    </w:p>
    <w:p>
      <w:pPr>
        <w:spacing w:line="360" w:lineRule="auto"/>
        <w:ind w:firstLine="544" w:firstLineChars="200"/>
        <w:rPr>
          <w:rStyle w:val="17"/>
          <w:rFonts w:hint="eastAsia" w:ascii="仿宋_GB2312" w:hAnsi="宋体" w:eastAsia="仿宋_GB2312"/>
          <w:b w:val="0"/>
          <w:bCs w:val="0"/>
          <w:spacing w:val="-4"/>
          <w:sz w:val="28"/>
          <w:szCs w:val="28"/>
        </w:rPr>
      </w:pPr>
      <w:bookmarkStart w:id="23" w:name="_Toc70450316"/>
      <w:r>
        <w:rPr>
          <w:rStyle w:val="17"/>
          <w:rFonts w:hint="eastAsia" w:ascii="仿宋_GB2312" w:hAnsi="宋体" w:eastAsia="仿宋_GB2312"/>
          <w:b w:val="0"/>
          <w:bCs w:val="0"/>
          <w:spacing w:val="-4"/>
          <w:sz w:val="28"/>
          <w:szCs w:val="28"/>
        </w:rPr>
        <w:t>2021年，在特克斯县人民政府的大力支持和教育局党委的正确领导下，</w:t>
      </w:r>
      <w:r>
        <w:rPr>
          <w:rStyle w:val="17"/>
          <w:rFonts w:hint="eastAsia" w:ascii="仿宋_GB2312" w:hAnsi="楷体" w:eastAsia="仿宋_GB2312"/>
          <w:b w:val="0"/>
          <w:color w:val="auto"/>
          <w:spacing w:val="-4"/>
          <w:sz w:val="28"/>
          <w:szCs w:val="28"/>
          <w:lang w:eastAsia="zh-CN"/>
        </w:rPr>
        <w:t>特克斯县马场寄宿制小学</w:t>
      </w:r>
      <w:r>
        <w:rPr>
          <w:rStyle w:val="17"/>
          <w:rFonts w:hint="eastAsia" w:ascii="仿宋_GB2312" w:hAnsi="宋体" w:eastAsia="仿宋_GB2312"/>
          <w:b w:val="0"/>
          <w:bCs w:val="0"/>
          <w:spacing w:val="-4"/>
          <w:sz w:val="28"/>
          <w:szCs w:val="28"/>
        </w:rPr>
        <w:t>迎难而上、务实重干，积极推动各项教育工作取得了新的进展，为促进经济持续健康发展与社会和谐稳定提供了有力的教育支撑和保障。</w:t>
      </w:r>
    </w:p>
    <w:p>
      <w:pPr>
        <w:numPr>
          <w:ilvl w:val="0"/>
          <w:numId w:val="2"/>
        </w:num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圆满完成教学任务工作</w:t>
      </w:r>
    </w:p>
    <w:p>
      <w:p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宋体" w:eastAsia="仿宋_GB2312"/>
          <w:b w:val="0"/>
          <w:bCs w:val="0"/>
          <w:spacing w:val="-4"/>
          <w:sz w:val="28"/>
          <w:szCs w:val="28"/>
          <w:highlight w:val="none"/>
        </w:rPr>
        <w:t>根据国家教育方针，严格按照上级主管部门教育教学规定，根据学校自己情况制定教育教学计划，年末圆满完成教育教学任务。</w:t>
      </w:r>
    </w:p>
    <w:p>
      <w:pPr>
        <w:numPr>
          <w:ilvl w:val="0"/>
          <w:numId w:val="2"/>
        </w:num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教育教学任务提前完成</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根据本单位教育教学任务，随时做好调整教育教学准备，加强课程实施监测和日常教学监督管理，进一步规范教学管理，提前完成本学期教学任务。</w:t>
      </w:r>
    </w:p>
    <w:p>
      <w:pPr>
        <w:numPr>
          <w:ilvl w:val="0"/>
          <w:numId w:val="2"/>
        </w:numPr>
        <w:spacing w:line="360" w:lineRule="auto"/>
        <w:ind w:firstLine="544" w:firstLineChars="200"/>
        <w:rPr>
          <w:rStyle w:val="17"/>
          <w:rFonts w:ascii="仿宋_GB2312" w:hAnsi="楷体" w:eastAsia="仿宋_GB2312"/>
          <w:b w:val="0"/>
          <w:spacing w:val="-4"/>
          <w:sz w:val="28"/>
          <w:szCs w:val="28"/>
          <w:highlight w:val="none"/>
        </w:rPr>
      </w:pPr>
      <w:r>
        <w:rPr>
          <w:rStyle w:val="17"/>
          <w:rFonts w:hint="eastAsia" w:ascii="仿宋_GB2312" w:hAnsi="楷体" w:eastAsia="仿宋_GB2312"/>
          <w:b w:val="0"/>
          <w:spacing w:val="-4"/>
          <w:sz w:val="28"/>
          <w:szCs w:val="28"/>
          <w:highlight w:val="none"/>
        </w:rPr>
        <w:t>教师满意度和家长满意度成效显著</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楷体" w:eastAsia="仿宋_GB2312"/>
          <w:b w:val="0"/>
          <w:spacing w:val="-4"/>
          <w:sz w:val="28"/>
          <w:szCs w:val="28"/>
          <w:highlight w:val="none"/>
        </w:rPr>
        <w:t>教师满意度：</w:t>
      </w:r>
      <w:r>
        <w:rPr>
          <w:rStyle w:val="17"/>
          <w:rFonts w:hint="eastAsia" w:ascii="仿宋_GB2312" w:hAnsi="宋体" w:eastAsia="仿宋_GB2312"/>
          <w:b w:val="0"/>
          <w:bCs w:val="0"/>
          <w:spacing w:val="-4"/>
          <w:sz w:val="28"/>
          <w:szCs w:val="28"/>
          <w:highlight w:val="none"/>
        </w:rPr>
        <w:t>学校在评优树先的方面方案科学合理，体现公平公正的原则，能充分调动每一位教职工的积极性。</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学校建立科学的考核机制，管理到位。</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楷体" w:eastAsia="仿宋_GB2312"/>
          <w:b w:val="0"/>
          <w:spacing w:val="-4"/>
          <w:sz w:val="28"/>
          <w:szCs w:val="28"/>
          <w:highlight w:val="none"/>
        </w:rPr>
        <w:t>家长满意度：</w:t>
      </w:r>
      <w:r>
        <w:rPr>
          <w:rStyle w:val="17"/>
          <w:rFonts w:hint="eastAsia" w:ascii="仿宋_GB2312" w:hAnsi="宋体" w:eastAsia="仿宋_GB2312"/>
          <w:b w:val="0"/>
          <w:bCs w:val="0"/>
          <w:spacing w:val="-4"/>
          <w:sz w:val="28"/>
          <w:szCs w:val="28"/>
          <w:highlight w:val="none"/>
        </w:rPr>
        <w:t>家长认为学校学风教风好，教师师德好。</w:t>
      </w:r>
    </w:p>
    <w:p>
      <w:pPr>
        <w:spacing w:line="360" w:lineRule="auto"/>
        <w:ind w:firstLine="544" w:firstLineChars="200"/>
        <w:rPr>
          <w:rStyle w:val="17"/>
          <w:rFonts w:ascii="仿宋_GB2312" w:hAnsi="宋体" w:eastAsia="仿宋_GB2312"/>
          <w:b w:val="0"/>
          <w:bCs w:val="0"/>
          <w:spacing w:val="-4"/>
          <w:sz w:val="28"/>
          <w:szCs w:val="28"/>
          <w:highlight w:val="none"/>
        </w:rPr>
      </w:pPr>
      <w:r>
        <w:rPr>
          <w:rStyle w:val="17"/>
          <w:rFonts w:hint="eastAsia" w:ascii="仿宋_GB2312" w:hAnsi="宋体" w:eastAsia="仿宋_GB2312"/>
          <w:b w:val="0"/>
          <w:bCs w:val="0"/>
          <w:spacing w:val="-4"/>
          <w:sz w:val="28"/>
          <w:szCs w:val="28"/>
          <w:highlight w:val="none"/>
        </w:rPr>
        <w:t>教师能够爱岗敬业，忠于党的教育事业，关心关爱学生。</w:t>
      </w:r>
    </w:p>
    <w:p>
      <w:pPr>
        <w:pStyle w:val="21"/>
        <w:tabs>
          <w:tab w:val="left" w:pos="312"/>
        </w:tabs>
        <w:spacing w:line="360" w:lineRule="auto"/>
        <w:ind w:left="544" w:firstLine="0" w:firstLineChars="0"/>
        <w:rPr>
          <w:rStyle w:val="17"/>
          <w:rFonts w:hint="eastAsia" w:ascii="仿宋_GB2312" w:hAnsi="宋体" w:eastAsia="仿宋_GB2312"/>
          <w:b w:val="0"/>
          <w:bCs w:val="0"/>
          <w:spacing w:val="-4"/>
          <w:sz w:val="28"/>
          <w:szCs w:val="28"/>
        </w:rPr>
      </w:pPr>
      <w:r>
        <w:rPr>
          <w:rStyle w:val="17"/>
          <w:rFonts w:hint="eastAsia" w:ascii="仿宋_GB2312" w:hAnsi="宋体" w:eastAsia="仿宋_GB2312"/>
          <w:b w:val="0"/>
          <w:bCs w:val="0"/>
          <w:spacing w:val="-4"/>
          <w:sz w:val="28"/>
          <w:szCs w:val="28"/>
        </w:rPr>
        <w:t>4、教育教学全面达标，群众满意度高。</w:t>
      </w:r>
    </w:p>
    <w:p>
      <w:pPr>
        <w:pStyle w:val="4"/>
        <w:spacing w:line="360" w:lineRule="auto"/>
        <w:ind w:firstLine="643" w:firstLineChars="200"/>
        <w:rPr>
          <w:rStyle w:val="17"/>
          <w:rFonts w:hint="eastAsia" w:ascii="仿宋" w:hAnsi="仿宋" w:eastAsia="仿宋" w:cs="Times New Roman"/>
          <w:b/>
          <w:bCs/>
        </w:rPr>
      </w:pPr>
      <w:r>
        <w:rPr>
          <w:rStyle w:val="17"/>
          <w:rFonts w:hint="eastAsia" w:ascii="仿宋" w:hAnsi="仿宋" w:eastAsia="仿宋" w:cs="Times New Roman"/>
          <w:b/>
          <w:bCs/>
        </w:rPr>
        <w:t>（三）有效性评价</w:t>
      </w:r>
      <w:bookmarkEnd w:id="23"/>
    </w:p>
    <w:p>
      <w:pPr>
        <w:spacing w:line="360" w:lineRule="auto"/>
        <w:ind w:firstLine="544" w:firstLineChars="200"/>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特克斯县马场寄宿制小学基本经费中人员经费支出、公用支出严格执行政府的各项制度，保障全局工作正常运转，三公经费的使用严格控制在预算申报的范围内；在项目经费的使用上，在保证各项任务顺利完成的同时，严格落实厉行节约的原则。详细情况如下：</w:t>
      </w:r>
    </w:p>
    <w:p>
      <w:pPr>
        <w:spacing w:line="360" w:lineRule="auto"/>
        <w:ind w:firstLine="544" w:firstLineChars="200"/>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共设置一级指标3个，二级指标6个，三级指标13个。详细说明如下</w:t>
      </w:r>
    </w:p>
    <w:p>
      <w:pPr>
        <w:numPr>
          <w:ilvl w:val="0"/>
          <w:numId w:val="3"/>
        </w:numPr>
        <w:spacing w:line="360" w:lineRule="auto"/>
        <w:ind w:firstLine="544" w:firstLineChars="200"/>
        <w:jc w:val="left"/>
        <w:outlineLvl w:val="2"/>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产出情况</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fldChar w:fldCharType="begin"/>
      </w:r>
      <w:r>
        <w:rPr>
          <w:rStyle w:val="17"/>
          <w:rFonts w:hint="eastAsia" w:ascii="仿宋_GB2312" w:hAnsi="宋体" w:eastAsia="仿宋_GB2312" w:cstheme="minorBidi"/>
          <w:b w:val="0"/>
          <w:bCs w:val="0"/>
          <w:spacing w:val="-4"/>
          <w:kern w:val="2"/>
          <w:sz w:val="28"/>
          <w:szCs w:val="28"/>
          <w:lang w:val="en-US" w:eastAsia="zh-CN" w:bidi="ar-SA"/>
        </w:rPr>
        <w:instrText xml:space="preserve"> = 1 \* GB3 </w:instrText>
      </w:r>
      <w:r>
        <w:rPr>
          <w:rStyle w:val="17"/>
          <w:rFonts w:hint="eastAsia" w:ascii="仿宋_GB2312" w:hAnsi="宋体" w:eastAsia="仿宋_GB2312" w:cstheme="minorBidi"/>
          <w:b w:val="0"/>
          <w:bCs w:val="0"/>
          <w:spacing w:val="-4"/>
          <w:kern w:val="2"/>
          <w:sz w:val="28"/>
          <w:szCs w:val="28"/>
          <w:lang w:val="en-US" w:eastAsia="zh-CN" w:bidi="ar-SA"/>
        </w:rPr>
        <w:fldChar w:fldCharType="separate"/>
      </w:r>
      <w:r>
        <w:rPr>
          <w:rStyle w:val="17"/>
          <w:rFonts w:hint="eastAsia" w:ascii="仿宋_GB2312" w:hAnsi="宋体" w:eastAsia="仿宋_GB2312" w:cstheme="minorBidi"/>
          <w:b w:val="0"/>
          <w:bCs w:val="0"/>
          <w:spacing w:val="-4"/>
          <w:kern w:val="2"/>
          <w:sz w:val="28"/>
          <w:szCs w:val="28"/>
          <w:lang w:val="en-US" w:eastAsia="zh-CN" w:bidi="ar-SA"/>
        </w:rPr>
        <w:t>①</w:t>
      </w:r>
      <w:r>
        <w:rPr>
          <w:rStyle w:val="17"/>
          <w:rFonts w:hint="eastAsia" w:ascii="仿宋_GB2312" w:hAnsi="宋体" w:eastAsia="仿宋_GB2312" w:cstheme="minorBidi"/>
          <w:b w:val="0"/>
          <w:bCs w:val="0"/>
          <w:spacing w:val="-4"/>
          <w:kern w:val="2"/>
          <w:sz w:val="28"/>
          <w:szCs w:val="28"/>
          <w:lang w:val="en-US" w:eastAsia="zh-CN" w:bidi="ar-SA"/>
        </w:rPr>
        <w:fldChar w:fldCharType="end"/>
      </w:r>
      <w:r>
        <w:rPr>
          <w:rStyle w:val="17"/>
          <w:rFonts w:hint="eastAsia" w:ascii="仿宋_GB2312" w:hAnsi="宋体" w:eastAsia="仿宋_GB2312" w:cstheme="minorBidi"/>
          <w:b w:val="0"/>
          <w:bCs w:val="0"/>
          <w:spacing w:val="-4"/>
          <w:kern w:val="2"/>
          <w:sz w:val="28"/>
          <w:szCs w:val="28"/>
          <w:lang w:val="en-US" w:eastAsia="zh-CN" w:bidi="ar-SA"/>
        </w:rPr>
        <w:t>数量指标：</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指标1：保障在职人员人数，预期指标值：=101人，实际完成值：101人，指标完成率 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指标2：退休人员数，预期指标值：=39人，实际完成值：39人，指标完成率100.00%；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指标3：保障补贴人员人数，预期指标值：=140人，实际完成值：140人，指标完成率100.00%；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指标4：采暖面积，预期指标值：=4349.87平方米，实际完成值：4349.87平方米，指标完成率100.00%；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fldChar w:fldCharType="begin"/>
      </w:r>
      <w:r>
        <w:rPr>
          <w:rStyle w:val="17"/>
          <w:rFonts w:hint="eastAsia" w:ascii="仿宋_GB2312" w:hAnsi="宋体" w:eastAsia="仿宋_GB2312" w:cstheme="minorBidi"/>
          <w:b w:val="0"/>
          <w:bCs w:val="0"/>
          <w:spacing w:val="-4"/>
          <w:kern w:val="2"/>
          <w:sz w:val="28"/>
          <w:szCs w:val="28"/>
          <w:lang w:val="en-US" w:eastAsia="zh-CN" w:bidi="ar-SA"/>
        </w:rPr>
        <w:instrText xml:space="preserve"> = 2 \* GB3 </w:instrText>
      </w:r>
      <w:r>
        <w:rPr>
          <w:rStyle w:val="17"/>
          <w:rFonts w:hint="eastAsia" w:ascii="仿宋_GB2312" w:hAnsi="宋体" w:eastAsia="仿宋_GB2312" w:cstheme="minorBidi"/>
          <w:b w:val="0"/>
          <w:bCs w:val="0"/>
          <w:spacing w:val="-4"/>
          <w:kern w:val="2"/>
          <w:sz w:val="28"/>
          <w:szCs w:val="28"/>
          <w:lang w:val="en-US" w:eastAsia="zh-CN" w:bidi="ar-SA"/>
        </w:rPr>
        <w:fldChar w:fldCharType="separate"/>
      </w:r>
      <w:r>
        <w:rPr>
          <w:rStyle w:val="17"/>
          <w:rFonts w:hint="eastAsia" w:ascii="仿宋_GB2312" w:hAnsi="宋体" w:eastAsia="仿宋_GB2312" w:cstheme="minorBidi"/>
          <w:b w:val="0"/>
          <w:bCs w:val="0"/>
          <w:spacing w:val="-4"/>
          <w:kern w:val="2"/>
          <w:sz w:val="28"/>
          <w:szCs w:val="28"/>
          <w:lang w:val="en-US" w:eastAsia="zh-CN" w:bidi="ar-SA"/>
        </w:rPr>
        <w:t>②</w:t>
      </w:r>
      <w:r>
        <w:rPr>
          <w:rStyle w:val="17"/>
          <w:rFonts w:hint="eastAsia" w:ascii="仿宋_GB2312" w:hAnsi="宋体" w:eastAsia="仿宋_GB2312" w:cstheme="minorBidi"/>
          <w:b w:val="0"/>
          <w:bCs w:val="0"/>
          <w:spacing w:val="-4"/>
          <w:kern w:val="2"/>
          <w:sz w:val="28"/>
          <w:szCs w:val="28"/>
          <w:lang w:val="en-US" w:eastAsia="zh-CN" w:bidi="ar-SA"/>
        </w:rPr>
        <w:fldChar w:fldCharType="end"/>
      </w:r>
      <w:r>
        <w:rPr>
          <w:rStyle w:val="17"/>
          <w:rFonts w:hint="eastAsia" w:ascii="仿宋_GB2312" w:hAnsi="宋体" w:eastAsia="仿宋_GB2312" w:cstheme="minorBidi"/>
          <w:b w:val="0"/>
          <w:bCs w:val="0"/>
          <w:spacing w:val="-4"/>
          <w:kern w:val="2"/>
          <w:sz w:val="28"/>
          <w:szCs w:val="28"/>
          <w:lang w:val="en-US" w:eastAsia="zh-CN" w:bidi="ar-SA"/>
        </w:rPr>
        <w:t>质量指标：</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指标1：工资及公用经费保障率，预期指标值：=100%，实际完成值： 100%，指标完成率100.00%；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fldChar w:fldCharType="begin"/>
      </w:r>
      <w:r>
        <w:rPr>
          <w:rStyle w:val="17"/>
          <w:rFonts w:hint="eastAsia" w:ascii="仿宋_GB2312" w:hAnsi="宋体" w:eastAsia="仿宋_GB2312" w:cstheme="minorBidi"/>
          <w:b w:val="0"/>
          <w:bCs w:val="0"/>
          <w:spacing w:val="-4"/>
          <w:kern w:val="2"/>
          <w:sz w:val="28"/>
          <w:szCs w:val="28"/>
          <w:lang w:val="en-US" w:eastAsia="zh-CN" w:bidi="ar-SA"/>
        </w:rPr>
        <w:instrText xml:space="preserve"> = 3 \* GB3 </w:instrText>
      </w:r>
      <w:r>
        <w:rPr>
          <w:rStyle w:val="17"/>
          <w:rFonts w:hint="eastAsia" w:ascii="仿宋_GB2312" w:hAnsi="宋体" w:eastAsia="仿宋_GB2312" w:cstheme="minorBidi"/>
          <w:b w:val="0"/>
          <w:bCs w:val="0"/>
          <w:spacing w:val="-4"/>
          <w:kern w:val="2"/>
          <w:sz w:val="28"/>
          <w:szCs w:val="28"/>
          <w:lang w:val="en-US" w:eastAsia="zh-CN" w:bidi="ar-SA"/>
        </w:rPr>
        <w:fldChar w:fldCharType="separate"/>
      </w:r>
      <w:r>
        <w:rPr>
          <w:rStyle w:val="17"/>
          <w:rFonts w:hint="eastAsia" w:ascii="仿宋_GB2312" w:hAnsi="宋体" w:eastAsia="仿宋_GB2312" w:cstheme="minorBidi"/>
          <w:b w:val="0"/>
          <w:bCs w:val="0"/>
          <w:spacing w:val="-4"/>
          <w:kern w:val="2"/>
          <w:sz w:val="28"/>
          <w:szCs w:val="28"/>
          <w:lang w:val="en-US" w:eastAsia="zh-CN" w:bidi="ar-SA"/>
        </w:rPr>
        <w:t>③</w:t>
      </w:r>
      <w:r>
        <w:rPr>
          <w:rStyle w:val="17"/>
          <w:rFonts w:hint="eastAsia" w:ascii="仿宋_GB2312" w:hAnsi="宋体" w:eastAsia="仿宋_GB2312" w:cstheme="minorBidi"/>
          <w:b w:val="0"/>
          <w:bCs w:val="0"/>
          <w:spacing w:val="-4"/>
          <w:kern w:val="2"/>
          <w:sz w:val="28"/>
          <w:szCs w:val="28"/>
          <w:lang w:val="en-US" w:eastAsia="zh-CN" w:bidi="ar-SA"/>
        </w:rPr>
        <w:fldChar w:fldCharType="end"/>
      </w:r>
      <w:r>
        <w:rPr>
          <w:rStyle w:val="17"/>
          <w:rFonts w:hint="eastAsia" w:ascii="仿宋_GB2312" w:hAnsi="宋体" w:eastAsia="仿宋_GB2312" w:cstheme="minorBidi"/>
          <w:b w:val="0"/>
          <w:bCs w:val="0"/>
          <w:spacing w:val="-4"/>
          <w:kern w:val="2"/>
          <w:sz w:val="28"/>
          <w:szCs w:val="28"/>
          <w:lang w:val="en-US" w:eastAsia="zh-CN" w:bidi="ar-SA"/>
        </w:rPr>
        <w:t>时效指标：</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指标1：资金发放及时性，预期指标值：=100%，实际完成值：100%，指标完成率 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fldChar w:fldCharType="begin"/>
      </w:r>
      <w:r>
        <w:rPr>
          <w:rStyle w:val="17"/>
          <w:rFonts w:hint="eastAsia" w:ascii="仿宋_GB2312" w:hAnsi="宋体" w:eastAsia="仿宋_GB2312" w:cstheme="minorBidi"/>
          <w:b w:val="0"/>
          <w:bCs w:val="0"/>
          <w:spacing w:val="-4"/>
          <w:kern w:val="2"/>
          <w:sz w:val="28"/>
          <w:szCs w:val="28"/>
          <w:lang w:val="en-US" w:eastAsia="zh-CN" w:bidi="ar-SA"/>
        </w:rPr>
        <w:instrText xml:space="preserve"> = 4 \* GB3 </w:instrText>
      </w:r>
      <w:r>
        <w:rPr>
          <w:rStyle w:val="17"/>
          <w:rFonts w:hint="eastAsia" w:ascii="仿宋_GB2312" w:hAnsi="宋体" w:eastAsia="仿宋_GB2312" w:cstheme="minorBidi"/>
          <w:b w:val="0"/>
          <w:bCs w:val="0"/>
          <w:spacing w:val="-4"/>
          <w:kern w:val="2"/>
          <w:sz w:val="28"/>
          <w:szCs w:val="28"/>
          <w:lang w:val="en-US" w:eastAsia="zh-CN" w:bidi="ar-SA"/>
        </w:rPr>
        <w:fldChar w:fldCharType="separate"/>
      </w:r>
      <w:r>
        <w:rPr>
          <w:rStyle w:val="17"/>
          <w:rFonts w:hint="eastAsia" w:ascii="仿宋_GB2312" w:hAnsi="宋体" w:eastAsia="仿宋_GB2312" w:cstheme="minorBidi"/>
          <w:b w:val="0"/>
          <w:bCs w:val="0"/>
          <w:spacing w:val="-4"/>
          <w:kern w:val="2"/>
          <w:sz w:val="28"/>
          <w:szCs w:val="28"/>
          <w:lang w:val="en-US" w:eastAsia="zh-CN" w:bidi="ar-SA"/>
        </w:rPr>
        <w:t>④</w:t>
      </w:r>
      <w:r>
        <w:rPr>
          <w:rStyle w:val="17"/>
          <w:rFonts w:hint="eastAsia" w:ascii="仿宋_GB2312" w:hAnsi="宋体" w:eastAsia="仿宋_GB2312" w:cstheme="minorBidi"/>
          <w:b w:val="0"/>
          <w:bCs w:val="0"/>
          <w:spacing w:val="-4"/>
          <w:kern w:val="2"/>
          <w:sz w:val="28"/>
          <w:szCs w:val="28"/>
          <w:lang w:val="en-US" w:eastAsia="zh-CN" w:bidi="ar-SA"/>
        </w:rPr>
        <w:fldChar w:fldCharType="end"/>
      </w:r>
      <w:r>
        <w:rPr>
          <w:rStyle w:val="17"/>
          <w:rFonts w:hint="eastAsia" w:ascii="仿宋_GB2312" w:hAnsi="宋体" w:eastAsia="仿宋_GB2312" w:cstheme="minorBidi"/>
          <w:b w:val="0"/>
          <w:bCs w:val="0"/>
          <w:spacing w:val="-4"/>
          <w:kern w:val="2"/>
          <w:sz w:val="28"/>
          <w:szCs w:val="28"/>
          <w:lang w:val="en-US" w:eastAsia="zh-CN" w:bidi="ar-SA"/>
        </w:rPr>
        <w:t>成本指标：</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指标1：保障人员人均支出标准，预期指标值：≤12.84万元/人/年，实际完成值：12.84万元/人/年，指标完成率100.00%；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指标2：退休人员计生奖励，预期指标值：≤0.12万元/人/年，实际完成值：0.12万元/人/年，指标完成率100.00%；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指标3：采暖补贴，预期指标值：≤0.13万元/人/年，实际完成值：0.13万元/人/年，指标完成率100.00%；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指标4：遗属补助，预期指标值：≤0.444万元/人/年，实际完成值：0.444万元/人/年，指标完成率100.00%；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2、效益情况</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fldChar w:fldCharType="begin"/>
      </w:r>
      <w:r>
        <w:rPr>
          <w:rStyle w:val="17"/>
          <w:rFonts w:hint="eastAsia" w:ascii="仿宋_GB2312" w:hAnsi="宋体" w:eastAsia="仿宋_GB2312" w:cstheme="minorBidi"/>
          <w:b w:val="0"/>
          <w:bCs w:val="0"/>
          <w:spacing w:val="-4"/>
          <w:kern w:val="2"/>
          <w:sz w:val="28"/>
          <w:szCs w:val="28"/>
          <w:lang w:val="en-US" w:eastAsia="zh-CN" w:bidi="ar-SA"/>
        </w:rPr>
        <w:instrText xml:space="preserve"> = 1 \* GB3 </w:instrText>
      </w:r>
      <w:r>
        <w:rPr>
          <w:rStyle w:val="17"/>
          <w:rFonts w:hint="eastAsia" w:ascii="仿宋_GB2312" w:hAnsi="宋体" w:eastAsia="仿宋_GB2312" w:cstheme="minorBidi"/>
          <w:b w:val="0"/>
          <w:bCs w:val="0"/>
          <w:spacing w:val="-4"/>
          <w:kern w:val="2"/>
          <w:sz w:val="28"/>
          <w:szCs w:val="28"/>
          <w:lang w:val="en-US" w:eastAsia="zh-CN" w:bidi="ar-SA"/>
        </w:rPr>
        <w:fldChar w:fldCharType="separate"/>
      </w:r>
      <w:r>
        <w:rPr>
          <w:rStyle w:val="17"/>
          <w:rFonts w:hint="eastAsia" w:ascii="仿宋_GB2312" w:hAnsi="宋体" w:eastAsia="仿宋_GB2312" w:cstheme="minorBidi"/>
          <w:b w:val="0"/>
          <w:bCs w:val="0"/>
          <w:spacing w:val="-4"/>
          <w:kern w:val="2"/>
          <w:sz w:val="28"/>
          <w:szCs w:val="28"/>
          <w:lang w:val="en-US" w:eastAsia="zh-CN" w:bidi="ar-SA"/>
        </w:rPr>
        <w:t>①</w:t>
      </w:r>
      <w:r>
        <w:rPr>
          <w:rStyle w:val="17"/>
          <w:rFonts w:hint="eastAsia" w:ascii="仿宋_GB2312" w:hAnsi="宋体" w:eastAsia="仿宋_GB2312" w:cstheme="minorBidi"/>
          <w:b w:val="0"/>
          <w:bCs w:val="0"/>
          <w:spacing w:val="-4"/>
          <w:kern w:val="2"/>
          <w:sz w:val="28"/>
          <w:szCs w:val="28"/>
          <w:lang w:val="en-US" w:eastAsia="zh-CN" w:bidi="ar-SA"/>
        </w:rPr>
        <w:fldChar w:fldCharType="end"/>
      </w:r>
      <w:r>
        <w:rPr>
          <w:rStyle w:val="17"/>
          <w:rFonts w:hint="eastAsia" w:ascii="仿宋_GB2312" w:hAnsi="宋体" w:eastAsia="仿宋_GB2312" w:cstheme="minorBidi"/>
          <w:b w:val="0"/>
          <w:bCs w:val="0"/>
          <w:spacing w:val="-4"/>
          <w:kern w:val="2"/>
          <w:sz w:val="28"/>
          <w:szCs w:val="28"/>
          <w:lang w:val="en-US" w:eastAsia="zh-CN" w:bidi="ar-SA"/>
        </w:rPr>
        <w:t>社会效益指标：</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指标1：保证教学任务及时完成，预期指标值：有效保证 ，实际完成值：有效保证，指标完成率100.00%；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指标2：保证教师队伍稳定，预期指标值：有效保证，实际完成值：有效保证，指标完成率100.00%；</w:t>
      </w:r>
      <w:bookmarkStart w:id="27" w:name="_GoBack"/>
      <w:bookmarkEnd w:id="27"/>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3、满意度指标：</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指标1：教师满意度，预期指标值：≥95%，实际完成值：95%，指标完成率100.00%；</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指标2：退休教师满意度，预期指标值：≥95%，实际完成值：95%，指标完成率100.00%。</w:t>
      </w:r>
    </w:p>
    <w:p>
      <w:pPr>
        <w:pStyle w:val="3"/>
        <w:spacing w:line="360" w:lineRule="auto"/>
        <w:rPr>
          <w:rFonts w:hint="eastAsia" w:ascii="仿宋" w:hAnsi="仿宋" w:eastAsia="仿宋"/>
          <w:sz w:val="36"/>
          <w:szCs w:val="36"/>
          <w:lang w:val="en-US" w:eastAsia="zh-CN" w:bidi="ar"/>
        </w:rPr>
      </w:pPr>
      <w:bookmarkStart w:id="24" w:name="_Toc70450317"/>
      <w:r>
        <w:rPr>
          <w:rFonts w:hint="eastAsia" w:ascii="仿宋" w:hAnsi="仿宋" w:eastAsia="仿宋"/>
          <w:sz w:val="36"/>
          <w:szCs w:val="36"/>
          <w:lang w:val="en-US" w:eastAsia="zh-CN" w:bidi="ar"/>
        </w:rPr>
        <w:t>六、存在的主要问题</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1、预算绩效管理观念淡薄，缺乏主动性。</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2、预算绩效管理的组织架构不够完善，缺乏统筹性。</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3、绩效型预算编制脱离实际，缺乏前瞻性。</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4、绩效型预算评价方法比较单一、简单，大都还是采用目标分析法、成本效益分析法等，主观因素判断占比较大，尚未主动尝试采用层次分析法等先进方法。</w:t>
      </w:r>
    </w:p>
    <w:p>
      <w:pPr>
        <w:spacing w:line="360" w:lineRule="auto"/>
        <w:ind w:firstLine="544" w:firstLineChars="200"/>
        <w:jc w:val="left"/>
        <w:rPr>
          <w:rStyle w:val="17"/>
          <w:rFonts w:hint="eastAsia" w:ascii="仿宋_GB2312" w:hAnsi="宋体" w:eastAsia="仿宋_GB2312" w:cstheme="minorBidi"/>
          <w:b w:val="0"/>
          <w:bCs w:val="0"/>
          <w:spacing w:val="-4"/>
          <w:kern w:val="2"/>
          <w:sz w:val="28"/>
          <w:szCs w:val="28"/>
          <w:lang w:val="en-US" w:eastAsia="zh-CN" w:bidi="ar-SA"/>
        </w:rPr>
      </w:pPr>
      <w:r>
        <w:rPr>
          <w:rStyle w:val="17"/>
          <w:rFonts w:hint="eastAsia" w:ascii="仿宋_GB2312" w:hAnsi="宋体" w:eastAsia="仿宋_GB2312" w:cstheme="minorBidi"/>
          <w:b w:val="0"/>
          <w:bCs w:val="0"/>
          <w:spacing w:val="-4"/>
          <w:kern w:val="2"/>
          <w:sz w:val="28"/>
          <w:szCs w:val="28"/>
          <w:lang w:val="en-US" w:eastAsia="zh-CN" w:bidi="ar-SA"/>
        </w:rPr>
        <w:t>5、固定资产管理水平有待提高，固定资产台账未及时与账面资产金额对账且末与实物进行清点及及时清理处置报废资产导致资产台账与账面资产金额存在差异,固定资产管理继续加强中。</w:t>
      </w:r>
    </w:p>
    <w:p>
      <w:pPr>
        <w:pStyle w:val="3"/>
        <w:spacing w:line="360" w:lineRule="auto"/>
        <w:rPr>
          <w:rFonts w:hint="eastAsia" w:ascii="仿宋" w:hAnsi="仿宋" w:eastAsia="仿宋"/>
          <w:sz w:val="36"/>
          <w:szCs w:val="36"/>
          <w:lang w:bidi="ar"/>
        </w:rPr>
      </w:pPr>
      <w:r>
        <w:rPr>
          <w:rFonts w:hint="eastAsia" w:ascii="仿宋" w:hAnsi="仿宋" w:eastAsia="仿宋"/>
          <w:sz w:val="36"/>
          <w:szCs w:val="36"/>
          <w:lang w:bidi="ar"/>
        </w:rPr>
        <w:t>七、改进措施和建议</w:t>
      </w:r>
    </w:p>
    <w:p>
      <w:pPr>
        <w:pStyle w:val="4"/>
        <w:spacing w:line="360" w:lineRule="auto"/>
        <w:rPr>
          <w:rStyle w:val="17"/>
          <w:rFonts w:hint="eastAsia" w:ascii="仿宋" w:hAnsi="仿宋" w:eastAsia="仿宋" w:cs="Times New Roman"/>
          <w:b/>
          <w:bCs/>
        </w:rPr>
      </w:pPr>
      <w:r>
        <w:rPr>
          <w:rStyle w:val="17"/>
          <w:rFonts w:hint="eastAsia" w:ascii="仿宋" w:hAnsi="仿宋" w:eastAsia="仿宋" w:cs="Times New Roman"/>
          <w:b/>
          <w:bCs/>
        </w:rPr>
        <w:t>（一）改进措施</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1、加大宣传力度，强化预算绩效意识。</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2、建立内部控制与预算绩效为核心的工作理念，紧密结合各部门的职能，明确各项分工。</w:t>
      </w:r>
    </w:p>
    <w:p>
      <w:pPr>
        <w:spacing w:line="360" w:lineRule="auto"/>
        <w:ind w:firstLine="544" w:firstLineChars="200"/>
        <w:rPr>
          <w:rStyle w:val="17"/>
          <w:rFonts w:ascii="仿宋_GB2312" w:hAnsi="楷体" w:eastAsia="仿宋_GB2312"/>
          <w:b w:val="0"/>
          <w:spacing w:val="-4"/>
          <w:sz w:val="28"/>
          <w:szCs w:val="28"/>
        </w:rPr>
      </w:pPr>
      <w:r>
        <w:rPr>
          <w:rStyle w:val="17"/>
          <w:rFonts w:hint="eastAsia" w:ascii="仿宋_GB2312" w:hAnsi="楷体" w:eastAsia="仿宋_GB2312"/>
          <w:b w:val="0"/>
          <w:spacing w:val="-4"/>
          <w:sz w:val="28"/>
          <w:szCs w:val="28"/>
        </w:rPr>
        <w:t>3、建立以解决问题为导向、指向未来的预算绩效管理模式。</w:t>
      </w:r>
    </w:p>
    <w:p>
      <w:pPr>
        <w:spacing w:line="360" w:lineRule="auto"/>
        <w:ind w:firstLine="544" w:firstLineChars="200"/>
        <w:rPr>
          <w:rStyle w:val="17"/>
          <w:rFonts w:hint="eastAsia" w:ascii="仿宋_GB2312" w:hAnsi="楷体" w:eastAsia="仿宋_GB2312"/>
          <w:b w:val="0"/>
          <w:spacing w:val="-4"/>
          <w:sz w:val="28"/>
          <w:szCs w:val="28"/>
        </w:rPr>
      </w:pPr>
      <w:r>
        <w:rPr>
          <w:rStyle w:val="17"/>
          <w:rFonts w:hint="eastAsia" w:ascii="仿宋_GB2312" w:hAnsi="楷体" w:eastAsia="仿宋_GB2312"/>
          <w:b w:val="0"/>
          <w:spacing w:val="-4"/>
          <w:sz w:val="28"/>
          <w:szCs w:val="28"/>
        </w:rPr>
        <w:t>4、完善管理制度,进-步加强资产管理。严格按照《固定资产管理办法》的规定，加强固定资产管理,及时登记、更新台账，加强资产卡片管理,对各类实物资产进行全面盘点,确保账账、账实相符。</w:t>
      </w:r>
    </w:p>
    <w:p>
      <w:pPr>
        <w:spacing w:line="360" w:lineRule="auto"/>
        <w:ind w:firstLine="643" w:firstLineChars="200"/>
        <w:rPr>
          <w:rStyle w:val="17"/>
          <w:rFonts w:hint="eastAsia" w:ascii="仿宋" w:hAnsi="仿宋" w:eastAsia="仿宋" w:cs="Times New Roman"/>
          <w:kern w:val="2"/>
          <w:sz w:val="32"/>
          <w:szCs w:val="32"/>
          <w:lang w:val="en-US" w:eastAsia="zh-CN" w:bidi="ar-SA"/>
        </w:rPr>
      </w:pPr>
      <w:r>
        <w:rPr>
          <w:rStyle w:val="17"/>
          <w:rFonts w:hint="eastAsia" w:ascii="仿宋" w:hAnsi="仿宋" w:eastAsia="仿宋" w:cs="Times New Roman"/>
          <w:kern w:val="2"/>
          <w:sz w:val="32"/>
          <w:szCs w:val="32"/>
          <w:lang w:val="en-US" w:eastAsia="zh-CN" w:bidi="ar-SA"/>
        </w:rPr>
        <w:t>（二）建议</w:t>
      </w:r>
    </w:p>
    <w:bookmarkEnd w:id="24"/>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1、加强学习。进一步明确如何参照考核体系，科学合理设定绩效目标，充分发挥预算绩效管理工作效用。</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2、财务上，会计核算要更加详细，为本单位各项工作的开展、总结、评估提供有效数据资料支撑,为各项业务工作更好的开展提供帮助。</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3、从源头上强化对专项资金预算管理。实行专项资金预算管理，结合单位实际,按轻重缓急统筹安排编制预算,提高预算编制科学性和合理性,优化资金结构。</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4、按时间进度分解资金使用计划。专项资金的使用，要事前做计划，事中进行控制，事后总结提高。合理安排资金使用,充分体现资金投向的目标和效益。</w:t>
      </w:r>
    </w:p>
    <w:p>
      <w:pPr>
        <w:pStyle w:val="13"/>
        <w:pageBreakBefore w:val="0"/>
        <w:widowControl/>
        <w:kinsoku/>
        <w:wordWrap/>
        <w:overflowPunct/>
        <w:topLinePunct w:val="0"/>
        <w:autoSpaceDE/>
        <w:autoSpaceDN/>
        <w:bidi w:val="0"/>
        <w:adjustRightInd/>
        <w:spacing w:before="40" w:beforeAutospacing="0" w:after="0" w:afterAutospacing="0" w:line="560" w:lineRule="exact"/>
        <w:ind w:firstLine="544" w:firstLineChars="200"/>
        <w:jc w:val="both"/>
        <w:rPr>
          <w:rStyle w:val="17"/>
          <w:rFonts w:hint="eastAsia" w:ascii="仿宋_GB2312" w:hAnsi="宋体" w:eastAsia="仿宋_GB2312" w:cs="Times New Roman"/>
          <w:b w:val="0"/>
          <w:spacing w:val="-4"/>
          <w:kern w:val="2"/>
          <w:sz w:val="28"/>
          <w:szCs w:val="28"/>
          <w:lang w:val="en-US" w:eastAsia="zh-CN" w:bidi="ar-SA"/>
        </w:rPr>
      </w:pPr>
      <w:r>
        <w:rPr>
          <w:rStyle w:val="17"/>
          <w:rFonts w:hint="eastAsia" w:ascii="仿宋_GB2312" w:hAnsi="宋体" w:eastAsia="仿宋_GB2312" w:cs="Times New Roman"/>
          <w:b w:val="0"/>
          <w:spacing w:val="-4"/>
          <w:kern w:val="2"/>
          <w:sz w:val="28"/>
          <w:szCs w:val="28"/>
          <w:lang w:val="en-US" w:eastAsia="zh-CN" w:bidi="ar-SA"/>
        </w:rPr>
        <w:t>5、进一步提高绩效管理水平。由于目前的预算管理在编制和实施中还存在编制不细、预算调整较多、追加预算比重较大等现象,因此项目预算执行的准确性还有待加强,同时分析手段和技术水平上还有待完善。在今后的工作中,我们将加强与财政部门的紧密配合,开展好整体支出及项目资金绩效管理工作,运用好绩效评价的结果,不断提升预算管理水平。</w:t>
      </w:r>
    </w:p>
    <w:p>
      <w:pPr>
        <w:spacing w:line="360" w:lineRule="auto"/>
        <w:ind w:firstLine="544" w:firstLineChars="200"/>
        <w:rPr>
          <w:rStyle w:val="17"/>
          <w:rFonts w:hint="eastAsia" w:ascii="仿宋_GB2312" w:hAnsi="宋体" w:eastAsia="仿宋_GB2312" w:cstheme="minorBidi"/>
          <w:b w:val="0"/>
          <w:bCs w:val="0"/>
          <w:spacing w:val="-4"/>
          <w:kern w:val="2"/>
          <w:sz w:val="28"/>
          <w:szCs w:val="28"/>
          <w:lang w:val="en-US" w:eastAsia="zh-CN" w:bidi="ar-SA"/>
        </w:rPr>
      </w:pPr>
    </w:p>
    <w:p>
      <w:pPr>
        <w:pStyle w:val="3"/>
        <w:spacing w:line="360" w:lineRule="auto"/>
        <w:rPr>
          <w:rStyle w:val="17"/>
          <w:rFonts w:asciiTheme="majorEastAsia" w:hAnsiTheme="majorEastAsia"/>
          <w:b/>
          <w:bCs/>
          <w:sz w:val="36"/>
          <w:szCs w:val="36"/>
        </w:rPr>
      </w:pPr>
      <w:bookmarkStart w:id="25" w:name="_Toc70450321"/>
      <w:r>
        <w:rPr>
          <w:rStyle w:val="17"/>
          <w:rFonts w:hint="eastAsia" w:asciiTheme="majorEastAsia" w:hAnsiTheme="majorEastAsia"/>
          <w:b/>
          <w:bCs/>
          <w:sz w:val="36"/>
          <w:szCs w:val="36"/>
        </w:rPr>
        <w:t>八、附表</w:t>
      </w:r>
      <w:r>
        <w:rPr>
          <w:rStyle w:val="17"/>
          <w:rFonts w:hint="eastAsia" w:asciiTheme="majorEastAsia" w:hAnsiTheme="majorEastAsia"/>
          <w:b w:val="0"/>
          <w:bCs w:val="0"/>
          <w:spacing w:val="-4"/>
          <w:sz w:val="36"/>
          <w:szCs w:val="36"/>
        </w:rPr>
        <w:t>：</w:t>
      </w:r>
      <w:bookmarkStart w:id="26" w:name="_Hlk70450148"/>
      <w:r>
        <w:rPr>
          <w:rStyle w:val="17"/>
          <w:rFonts w:hint="eastAsia" w:asciiTheme="majorEastAsia" w:hAnsiTheme="majorEastAsia"/>
          <w:b/>
          <w:bCs/>
          <w:sz w:val="36"/>
          <w:szCs w:val="36"/>
        </w:rPr>
        <w:t>《部门整体支出绩效目标自评表》</w:t>
      </w:r>
      <w:bookmarkEnd w:id="25"/>
      <w:bookmarkEnd w:id="26"/>
    </w:p>
    <w:p>
      <w:pPr>
        <w:rPr>
          <w:rFonts w:asciiTheme="majorEastAsia" w:hAnsiTheme="majorEastAsia" w:eastAsiaTheme="majorEastAsia"/>
        </w:rPr>
      </w:pPr>
      <w:r>
        <w:rPr>
          <w:rFonts w:asciiTheme="majorEastAsia" w:hAnsiTheme="majorEastAsia" w:eastAsiaTheme="majorEastAsia"/>
        </w:rPr>
        <w:br w:type="page"/>
      </w:r>
    </w:p>
    <w:tbl>
      <w:tblPr>
        <w:tblStyle w:val="15"/>
        <w:tblW w:w="8797" w:type="dxa"/>
        <w:tblInd w:w="93" w:type="dxa"/>
        <w:tblLayout w:type="fixed"/>
        <w:tblCellMar>
          <w:top w:w="0" w:type="dxa"/>
          <w:left w:w="108" w:type="dxa"/>
          <w:bottom w:w="0" w:type="dxa"/>
          <w:right w:w="108" w:type="dxa"/>
        </w:tblCellMar>
      </w:tblPr>
      <w:tblGrid>
        <w:gridCol w:w="456"/>
        <w:gridCol w:w="574"/>
        <w:gridCol w:w="1764"/>
        <w:gridCol w:w="1158"/>
        <w:gridCol w:w="222"/>
        <w:gridCol w:w="522"/>
        <w:gridCol w:w="222"/>
        <w:gridCol w:w="714"/>
        <w:gridCol w:w="222"/>
        <w:gridCol w:w="954"/>
        <w:gridCol w:w="222"/>
        <w:gridCol w:w="1009"/>
        <w:gridCol w:w="222"/>
        <w:gridCol w:w="314"/>
        <w:gridCol w:w="222"/>
      </w:tblGrid>
      <w:tr>
        <w:tblPrEx>
          <w:tblCellMar>
            <w:top w:w="0" w:type="dxa"/>
            <w:left w:w="108" w:type="dxa"/>
            <w:bottom w:w="0" w:type="dxa"/>
            <w:right w:w="108" w:type="dxa"/>
          </w:tblCellMar>
        </w:tblPrEx>
        <w:trPr>
          <w:trHeight w:val="405" w:hRule="atLeast"/>
        </w:trPr>
        <w:tc>
          <w:tcPr>
            <w:tcW w:w="8797" w:type="dxa"/>
            <w:gridSpan w:val="15"/>
            <w:tcBorders>
              <w:top w:val="nil"/>
              <w:left w:val="nil"/>
              <w:bottom w:val="nil"/>
              <w:right w:val="nil"/>
            </w:tcBorders>
            <w:shd w:val="clear" w:color="auto" w:fill="auto"/>
            <w:vAlign w:val="center"/>
          </w:tcPr>
          <w:p>
            <w:pPr>
              <w:widowControl/>
              <w:spacing w:line="640" w:lineRule="exact"/>
              <w:jc w:val="center"/>
              <w:rPr>
                <w:rFonts w:ascii="方正小标宋_GBK" w:hAnsi="宋体" w:eastAsia="方正小标宋_GBK" w:cs="宋体"/>
                <w:kern w:val="0"/>
                <w:sz w:val="44"/>
                <w:szCs w:val="44"/>
              </w:rPr>
            </w:pPr>
            <w:r>
              <w:rPr>
                <w:rFonts w:hint="eastAsia" w:ascii="方正小标宋_GBK" w:hAnsi="宋体" w:eastAsia="方正小标宋_GBK" w:cs="宋体"/>
                <w:kern w:val="0"/>
                <w:sz w:val="44"/>
                <w:szCs w:val="44"/>
              </w:rPr>
              <w:t>部门整体支出绩效目标自评表</w:t>
            </w:r>
          </w:p>
        </w:tc>
      </w:tr>
      <w:tr>
        <w:tblPrEx>
          <w:tblCellMar>
            <w:top w:w="0" w:type="dxa"/>
            <w:left w:w="108" w:type="dxa"/>
            <w:bottom w:w="0" w:type="dxa"/>
            <w:right w:w="108" w:type="dxa"/>
          </w:tblCellMar>
        </w:tblPrEx>
        <w:trPr>
          <w:trHeight w:val="285" w:hRule="atLeast"/>
        </w:trPr>
        <w:tc>
          <w:tcPr>
            <w:tcW w:w="8797" w:type="dxa"/>
            <w:gridSpan w:val="15"/>
            <w:tcBorders>
              <w:top w:val="nil"/>
              <w:left w:val="nil"/>
              <w:bottom w:val="nil"/>
              <w:right w:val="nil"/>
            </w:tcBorders>
            <w:shd w:val="clear" w:color="auto" w:fill="auto"/>
            <w:vAlign w:val="center"/>
          </w:tcPr>
          <w:p>
            <w:pPr>
              <w:widowControl/>
              <w:spacing w:line="640" w:lineRule="exact"/>
              <w:jc w:val="center"/>
              <w:rPr>
                <w:rFonts w:ascii="宋体" w:hAnsi="宋体" w:eastAsia="宋体" w:cs="宋体"/>
                <w:kern w:val="0"/>
                <w:sz w:val="24"/>
              </w:rPr>
            </w:pPr>
            <w:r>
              <w:rPr>
                <w:rFonts w:hint="eastAsia" w:ascii="宋体" w:hAnsi="宋体" w:eastAsia="宋体" w:cs="宋体"/>
                <w:kern w:val="0"/>
                <w:sz w:val="24"/>
              </w:rPr>
              <w:t>（</w:t>
            </w:r>
            <w:r>
              <w:rPr>
                <w:rFonts w:ascii="Times New Roman" w:hAnsi="Times New Roman" w:eastAsia="宋体" w:cs="Times New Roman"/>
                <w:kern w:val="0"/>
                <w:sz w:val="24"/>
              </w:rPr>
              <w:t xml:space="preserve">  </w:t>
            </w:r>
            <w:r>
              <w:rPr>
                <w:rFonts w:hint="eastAsia" w:ascii="Times New Roman" w:hAnsi="Times New Roman" w:eastAsia="宋体" w:cs="Times New Roman"/>
                <w:kern w:val="0"/>
                <w:sz w:val="24"/>
                <w:lang w:val="en-US" w:eastAsia="zh-CN"/>
              </w:rPr>
              <w:t>2021</w:t>
            </w:r>
            <w:r>
              <w:rPr>
                <w:rFonts w:hint="eastAsia" w:ascii="宋体" w:hAnsi="宋体" w:eastAsia="宋体" w:cs="宋体"/>
                <w:kern w:val="0"/>
                <w:sz w:val="24"/>
              </w:rPr>
              <w:t>年度）</w:t>
            </w:r>
          </w:p>
        </w:tc>
      </w:tr>
      <w:tr>
        <w:tblPrEx>
          <w:tblCellMar>
            <w:top w:w="0" w:type="dxa"/>
            <w:left w:w="108" w:type="dxa"/>
            <w:bottom w:w="0" w:type="dxa"/>
            <w:right w:w="108" w:type="dxa"/>
          </w:tblCellMar>
        </w:tblPrEx>
        <w:trPr>
          <w:gridAfter w:val="1"/>
          <w:wAfter w:w="222" w:type="dxa"/>
          <w:trHeight w:val="285" w:hRule="atLeast"/>
        </w:trPr>
        <w:tc>
          <w:tcPr>
            <w:tcW w:w="456"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57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764"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58" w:type="dxa"/>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744"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936"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176" w:type="dxa"/>
            <w:gridSpan w:val="2"/>
            <w:tcBorders>
              <w:top w:val="nil"/>
              <w:left w:val="nil"/>
              <w:bottom w:val="nil"/>
              <w:right w:val="nil"/>
            </w:tcBorders>
            <w:shd w:val="clear" w:color="auto" w:fill="auto"/>
            <w:noWrap/>
            <w:vAlign w:val="center"/>
          </w:tcPr>
          <w:p>
            <w:pPr>
              <w:widowControl/>
              <w:jc w:val="left"/>
              <w:rPr>
                <w:rFonts w:ascii="宋体" w:hAnsi="宋体" w:eastAsia="宋体" w:cs="宋体"/>
                <w:kern w:val="0"/>
                <w:sz w:val="24"/>
              </w:rPr>
            </w:pPr>
          </w:p>
        </w:tc>
        <w:tc>
          <w:tcPr>
            <w:tcW w:w="1231"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c>
          <w:tcPr>
            <w:tcW w:w="536" w:type="dxa"/>
            <w:gridSpan w:val="2"/>
            <w:tcBorders>
              <w:top w:val="nil"/>
              <w:left w:val="nil"/>
              <w:bottom w:val="nil"/>
              <w:right w:val="nil"/>
            </w:tcBorders>
            <w:shd w:val="clear" w:color="auto" w:fill="auto"/>
            <w:noWrap/>
            <w:vAlign w:val="center"/>
          </w:tcPr>
          <w:p>
            <w:pPr>
              <w:widowControl/>
              <w:jc w:val="left"/>
              <w:rPr>
                <w:rFonts w:ascii="宋体" w:hAnsi="宋体" w:eastAsia="宋体" w:cs="宋体"/>
                <w:color w:val="000000"/>
                <w:kern w:val="0"/>
                <w:sz w:val="22"/>
                <w:szCs w:val="22"/>
              </w:rPr>
            </w:pPr>
          </w:p>
        </w:tc>
      </w:tr>
      <w:tr>
        <w:tblPrEx>
          <w:tblCellMar>
            <w:top w:w="0" w:type="dxa"/>
            <w:left w:w="108" w:type="dxa"/>
            <w:bottom w:w="0" w:type="dxa"/>
            <w:right w:w="108" w:type="dxa"/>
          </w:tblCellMar>
        </w:tblPrEx>
        <w:trPr>
          <w:trHeight w:val="285" w:hRule="atLeast"/>
        </w:trPr>
        <w:tc>
          <w:tcPr>
            <w:tcW w:w="103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部门名称</w:t>
            </w:r>
          </w:p>
        </w:tc>
        <w:tc>
          <w:tcPr>
            <w:tcW w:w="7767" w:type="dxa"/>
            <w:gridSpan w:val="13"/>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lang w:eastAsia="zh-CN"/>
              </w:rPr>
              <w:t>特克斯县马场寄宿制小学</w:t>
            </w:r>
            <w:r>
              <w:rPr>
                <w:rFonts w:hint="eastAsia" w:ascii="宋体" w:hAnsi="宋体" w:eastAsia="宋体" w:cs="宋体"/>
                <w:kern w:val="0"/>
                <w:sz w:val="16"/>
                <w:szCs w:val="16"/>
              </w:rPr>
              <w:t>　</w:t>
            </w:r>
          </w:p>
        </w:tc>
      </w:tr>
      <w:tr>
        <w:tblPrEx>
          <w:tblCellMar>
            <w:top w:w="0" w:type="dxa"/>
            <w:left w:w="108" w:type="dxa"/>
            <w:bottom w:w="0" w:type="dxa"/>
            <w:right w:w="108" w:type="dxa"/>
          </w:tblCellMar>
        </w:tblPrEx>
        <w:trPr>
          <w:trHeight w:val="285"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年度</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主要</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任务</w:t>
            </w:r>
          </w:p>
        </w:tc>
        <w:tc>
          <w:tcPr>
            <w:tcW w:w="57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任务名称</w:t>
            </w:r>
          </w:p>
        </w:tc>
        <w:tc>
          <w:tcPr>
            <w:tcW w:w="1764"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主要内容</w:t>
            </w:r>
          </w:p>
        </w:tc>
        <w:tc>
          <w:tcPr>
            <w:tcW w:w="3060" w:type="dxa"/>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预算金额（万元）</w:t>
            </w:r>
          </w:p>
        </w:tc>
        <w:tc>
          <w:tcPr>
            <w:tcW w:w="2943" w:type="dxa"/>
            <w:gridSpan w:val="6"/>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kern w:val="0"/>
                <w:sz w:val="16"/>
                <w:szCs w:val="16"/>
              </w:rPr>
              <w:t>实际执行（万元）</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hint="eastAsia" w:ascii="宋体" w:hAnsi="宋体" w:eastAsia="宋体" w:cs="宋体"/>
                <w:kern w:val="0"/>
                <w:sz w:val="16"/>
                <w:szCs w:val="16"/>
              </w:rPr>
            </w:pPr>
          </w:p>
        </w:tc>
        <w:tc>
          <w:tcPr>
            <w:tcW w:w="1764"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138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总额</w:t>
            </w:r>
          </w:p>
        </w:tc>
        <w:tc>
          <w:tcPr>
            <w:tcW w:w="74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财政拨款</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其他资金</w:t>
            </w:r>
          </w:p>
        </w:tc>
        <w:tc>
          <w:tcPr>
            <w:tcW w:w="11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总额</w:t>
            </w:r>
          </w:p>
        </w:tc>
        <w:tc>
          <w:tcPr>
            <w:tcW w:w="1231"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财政拨款</w:t>
            </w:r>
          </w:p>
        </w:tc>
        <w:tc>
          <w:tcPr>
            <w:tcW w:w="53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其他资金</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人员保障</w:t>
            </w:r>
          </w:p>
        </w:tc>
        <w:tc>
          <w:tcPr>
            <w:tcW w:w="1764"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用于保障部门单位人员发放工资福利支出及对个人和家庭补助</w:t>
            </w:r>
          </w:p>
        </w:tc>
        <w:tc>
          <w:tcPr>
            <w:tcW w:w="1380"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1050.21</w:t>
            </w:r>
          </w:p>
        </w:tc>
        <w:tc>
          <w:tcPr>
            <w:tcW w:w="74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1050.21</w:t>
            </w:r>
          </w:p>
        </w:tc>
        <w:tc>
          <w:tcPr>
            <w:tcW w:w="93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c>
          <w:tcPr>
            <w:tcW w:w="117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1050.21</w:t>
            </w:r>
          </w:p>
        </w:tc>
        <w:tc>
          <w:tcPr>
            <w:tcW w:w="123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1050.21</w:t>
            </w:r>
          </w:p>
        </w:tc>
        <w:tc>
          <w:tcPr>
            <w:tcW w:w="53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运转保障</w:t>
            </w:r>
          </w:p>
        </w:tc>
        <w:tc>
          <w:tcPr>
            <w:tcW w:w="1764" w:type="dxa"/>
            <w:tcBorders>
              <w:top w:val="nil"/>
              <w:left w:val="nil"/>
              <w:bottom w:val="single" w:color="auto"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用于日常办公费、取暖费、三公经费、工会经费、福利费及其他商品和服务支出</w:t>
            </w:r>
          </w:p>
        </w:tc>
        <w:tc>
          <w:tcPr>
            <w:tcW w:w="1380" w:type="dxa"/>
            <w:gridSpan w:val="2"/>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162.37</w:t>
            </w:r>
          </w:p>
        </w:tc>
        <w:tc>
          <w:tcPr>
            <w:tcW w:w="74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162.37</w:t>
            </w:r>
          </w:p>
        </w:tc>
        <w:tc>
          <w:tcPr>
            <w:tcW w:w="93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c>
          <w:tcPr>
            <w:tcW w:w="117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162.37</w:t>
            </w:r>
          </w:p>
        </w:tc>
        <w:tc>
          <w:tcPr>
            <w:tcW w:w="1231"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162.37</w:t>
            </w:r>
          </w:p>
        </w:tc>
        <w:tc>
          <w:tcPr>
            <w:tcW w:w="536"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2338" w:type="dxa"/>
            <w:gridSpan w:val="2"/>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金额合计</w:t>
            </w:r>
          </w:p>
        </w:tc>
        <w:tc>
          <w:tcPr>
            <w:tcW w:w="1380"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1212.59</w:t>
            </w:r>
          </w:p>
        </w:tc>
        <w:tc>
          <w:tcPr>
            <w:tcW w:w="744"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1212.59</w:t>
            </w:r>
          </w:p>
        </w:tc>
        <w:tc>
          <w:tcPr>
            <w:tcW w:w="93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lang w:val="en-US" w:eastAsia="zh-CN"/>
              </w:rPr>
            </w:pPr>
            <w:r>
              <w:rPr>
                <w:rFonts w:hint="eastAsia" w:ascii="宋体" w:hAnsi="宋体" w:eastAsia="宋体" w:cs="宋体"/>
                <w:kern w:val="0"/>
                <w:sz w:val="16"/>
                <w:szCs w:val="16"/>
                <w:lang w:val="en-US" w:eastAsia="zh-CN"/>
              </w:rPr>
              <w:t>0</w:t>
            </w:r>
          </w:p>
        </w:tc>
        <w:tc>
          <w:tcPr>
            <w:tcW w:w="1176" w:type="dxa"/>
            <w:gridSpan w:val="2"/>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1212.59</w:t>
            </w:r>
          </w:p>
        </w:tc>
        <w:tc>
          <w:tcPr>
            <w:tcW w:w="1231"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kern w:val="0"/>
                <w:sz w:val="16"/>
                <w:szCs w:val="16"/>
              </w:rPr>
              <w:t>1212.59</w:t>
            </w:r>
          </w:p>
        </w:tc>
        <w:tc>
          <w:tcPr>
            <w:tcW w:w="536" w:type="dxa"/>
            <w:gridSpan w:val="2"/>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kern w:val="0"/>
                <w:sz w:val="16"/>
                <w:szCs w:val="16"/>
                <w:lang w:val="en-US" w:eastAsia="zh-CN"/>
              </w:rPr>
              <w:t>0</w:t>
            </w:r>
          </w:p>
        </w:tc>
      </w:tr>
      <w:tr>
        <w:tblPrEx>
          <w:tblCellMar>
            <w:top w:w="0" w:type="dxa"/>
            <w:left w:w="108" w:type="dxa"/>
            <w:bottom w:w="0" w:type="dxa"/>
            <w:right w:w="108" w:type="dxa"/>
          </w:tblCellMar>
        </w:tblPrEx>
        <w:trPr>
          <w:trHeight w:val="285" w:hRule="atLeast"/>
        </w:trPr>
        <w:tc>
          <w:tcPr>
            <w:tcW w:w="4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　</w:t>
            </w:r>
          </w:p>
        </w:tc>
        <w:tc>
          <w:tcPr>
            <w:tcW w:w="3718" w:type="dxa"/>
            <w:gridSpan w:val="4"/>
            <w:tcBorders>
              <w:top w:val="single" w:color="auto" w:sz="4" w:space="0"/>
              <w:left w:val="nil"/>
              <w:bottom w:val="single" w:color="auto" w:sz="4" w:space="0"/>
              <w:right w:val="nil"/>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预期目标</w:t>
            </w:r>
          </w:p>
        </w:tc>
        <w:tc>
          <w:tcPr>
            <w:tcW w:w="4623" w:type="dxa"/>
            <w:gridSpan w:val="10"/>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实际完成目标</w:t>
            </w:r>
          </w:p>
        </w:tc>
      </w:tr>
      <w:tr>
        <w:tblPrEx>
          <w:tblCellMar>
            <w:top w:w="0" w:type="dxa"/>
            <w:left w:w="108" w:type="dxa"/>
            <w:bottom w:w="0" w:type="dxa"/>
            <w:right w:w="108" w:type="dxa"/>
          </w:tblCellMar>
        </w:tblPrEx>
        <w:trPr>
          <w:trHeight w:val="1878" w:hRule="atLeast"/>
        </w:trPr>
        <w:tc>
          <w:tcPr>
            <w:tcW w:w="456"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年度</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总体</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目标</w:t>
            </w:r>
          </w:p>
        </w:tc>
        <w:tc>
          <w:tcPr>
            <w:tcW w:w="3718" w:type="dxa"/>
            <w:gridSpan w:val="4"/>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目标1：确保人员经费的合理分配。目标2：完成在职教师工资发放、按时完成社保、公积金缴纳。目标3：及时完成退休教师取暖费、计生奖励金目发放。目标4：完成每年教学任务。目5：全面推进各类教师能力提升培训，加强教师队伍建设。目标6：好教育教学管理工作。</w:t>
            </w:r>
          </w:p>
        </w:tc>
        <w:tc>
          <w:tcPr>
            <w:tcW w:w="4623" w:type="dxa"/>
            <w:gridSpan w:val="10"/>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完成人员经费的合理分配。完成在职教师工资发放、按时完成社保、公积金缴纳。及时完成退休教师取暖费、计生奖励金目发放。完成每年教学任务，完成全面推进各类教师能力提升培训，加强教师队伍建设。完成2021年各项教育教学管理工作。</w:t>
            </w:r>
          </w:p>
        </w:tc>
      </w:tr>
      <w:tr>
        <w:tblPrEx>
          <w:tblCellMar>
            <w:top w:w="0" w:type="dxa"/>
            <w:left w:w="108" w:type="dxa"/>
            <w:bottom w:w="0" w:type="dxa"/>
            <w:right w:w="108" w:type="dxa"/>
          </w:tblCellMar>
        </w:tblPrEx>
        <w:trPr>
          <w:trHeight w:val="744" w:hRule="atLeast"/>
        </w:trPr>
        <w:tc>
          <w:tcPr>
            <w:tcW w:w="456"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年</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度</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绩</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效</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指</w:t>
            </w:r>
          </w:p>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标</w:t>
            </w:r>
          </w:p>
        </w:tc>
        <w:tc>
          <w:tcPr>
            <w:tcW w:w="574"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一级指标</w:t>
            </w:r>
          </w:p>
        </w:tc>
        <w:tc>
          <w:tcPr>
            <w:tcW w:w="1764" w:type="dxa"/>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二级指标</w:t>
            </w:r>
          </w:p>
        </w:tc>
        <w:tc>
          <w:tcPr>
            <w:tcW w:w="2124" w:type="dxa"/>
            <w:gridSpan w:val="4"/>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eastAsia="宋体" w:cs="宋体"/>
                <w:kern w:val="0"/>
                <w:sz w:val="16"/>
                <w:szCs w:val="16"/>
              </w:rPr>
            </w:pPr>
            <w:r>
              <w:rPr>
                <w:rFonts w:hint="eastAsia" w:ascii="宋体" w:hAnsi="宋体" w:eastAsia="宋体" w:cs="宋体"/>
                <w:kern w:val="0"/>
                <w:sz w:val="16"/>
                <w:szCs w:val="16"/>
              </w:rPr>
              <w:t>三级指标</w:t>
            </w:r>
          </w:p>
        </w:tc>
        <w:tc>
          <w:tcPr>
            <w:tcW w:w="2112"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预期指标值（包含数字及文字描述）</w:t>
            </w:r>
          </w:p>
        </w:tc>
        <w:tc>
          <w:tcPr>
            <w:tcW w:w="1767" w:type="dxa"/>
            <w:gridSpan w:val="4"/>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eastAsia="宋体" w:cs="宋体"/>
                <w:color w:val="000000"/>
                <w:kern w:val="0"/>
                <w:sz w:val="16"/>
                <w:szCs w:val="16"/>
              </w:rPr>
            </w:pPr>
            <w:r>
              <w:rPr>
                <w:rFonts w:hint="eastAsia" w:ascii="宋体" w:hAnsi="宋体" w:eastAsia="宋体" w:cs="宋体"/>
                <w:color w:val="000000"/>
                <w:kern w:val="0"/>
                <w:sz w:val="16"/>
                <w:szCs w:val="16"/>
              </w:rPr>
              <w:t>实际完成指标值（包含数字及文字描述）</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产出指标</w:t>
            </w:r>
          </w:p>
        </w:tc>
        <w:tc>
          <w:tcPr>
            <w:tcW w:w="176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数量指标</w:t>
            </w: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保障在职人员人数</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=101人</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101人</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退休人员数</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=39人</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39人</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保障补贴人员人数</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=140人</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140人</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采暖面积</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=4349.87平方米</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4349.87平方米</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质量指标</w:t>
            </w: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工资及公用经费保障率</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=100%</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100%</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时效指标</w:t>
            </w: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资金发放及时性</w:t>
            </w:r>
          </w:p>
        </w:tc>
        <w:tc>
          <w:tcPr>
            <w:tcW w:w="2112" w:type="dxa"/>
            <w:gridSpan w:val="4"/>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=100%</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100%</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restart"/>
            <w:tcBorders>
              <w:top w:val="single" w:color="auto"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成本指标</w:t>
            </w: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保障人员人均支出标准</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≤12.84万元/人/年</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12.84万元/人/年</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退休人员计生奖励</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≤0.12万元/人/年</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0.12万元/人/年</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采暖补贴</w:t>
            </w:r>
          </w:p>
        </w:tc>
        <w:tc>
          <w:tcPr>
            <w:tcW w:w="2112" w:type="dxa"/>
            <w:gridSpan w:val="4"/>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≤0.13元/人/年</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0.13元/人/年</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遗属补助</w:t>
            </w:r>
          </w:p>
        </w:tc>
        <w:tc>
          <w:tcPr>
            <w:tcW w:w="2112" w:type="dxa"/>
            <w:gridSpan w:val="4"/>
            <w:tcBorders>
              <w:top w:val="nil"/>
              <w:left w:val="single" w:color="auto" w:sz="4" w:space="0"/>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≤0.444元/人/年</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0.444元/人/年</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效益指标</w:t>
            </w:r>
          </w:p>
        </w:tc>
        <w:tc>
          <w:tcPr>
            <w:tcW w:w="1764" w:type="dxa"/>
            <w:vMerge w:val="restart"/>
            <w:tcBorders>
              <w:top w:val="single" w:color="auto" w:sz="4" w:space="0"/>
              <w:left w:val="single" w:color="auto" w:sz="4" w:space="0"/>
              <w:bottom w:val="single" w:color="000000" w:sz="4" w:space="0"/>
              <w:right w:val="single" w:color="000000" w:sz="4" w:space="0"/>
            </w:tcBorders>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社会效益指标</w:t>
            </w: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保证教学任务及时完成</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有效保证</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有效保证</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保证教师队伍稳定</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有效保证</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有效保证</w:t>
            </w:r>
          </w:p>
        </w:tc>
      </w:tr>
      <w:tr>
        <w:tblPrEx>
          <w:tblCellMar>
            <w:top w:w="0" w:type="dxa"/>
            <w:left w:w="108" w:type="dxa"/>
            <w:bottom w:w="0" w:type="dxa"/>
            <w:right w:w="108" w:type="dxa"/>
          </w:tblCellMar>
        </w:tblPrEx>
        <w:trPr>
          <w:trHeight w:val="285"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restart"/>
            <w:tcBorders>
              <w:top w:val="nil"/>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满意度指标</w:t>
            </w:r>
          </w:p>
        </w:tc>
        <w:tc>
          <w:tcPr>
            <w:tcW w:w="1764" w:type="dxa"/>
            <w:vMerge w:val="restart"/>
            <w:tcBorders>
              <w:top w:val="single" w:color="auto" w:sz="4" w:space="0"/>
              <w:left w:val="nil"/>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满意度指标</w:t>
            </w: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教师满意度</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≥95%</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95%</w:t>
            </w:r>
          </w:p>
        </w:tc>
      </w:tr>
      <w:tr>
        <w:tblPrEx>
          <w:tblCellMar>
            <w:top w:w="0" w:type="dxa"/>
            <w:left w:w="108" w:type="dxa"/>
            <w:bottom w:w="0" w:type="dxa"/>
            <w:right w:w="108" w:type="dxa"/>
          </w:tblCellMar>
        </w:tblPrEx>
        <w:trPr>
          <w:trHeight w:val="780" w:hRule="atLeast"/>
        </w:trPr>
        <w:tc>
          <w:tcPr>
            <w:tcW w:w="456" w:type="dxa"/>
            <w:vMerge w:val="continue"/>
            <w:tcBorders>
              <w:top w:val="nil"/>
              <w:left w:val="single" w:color="auto" w:sz="4" w:space="0"/>
              <w:bottom w:val="single" w:color="auto" w:sz="4" w:space="0"/>
              <w:right w:val="single" w:color="auto" w:sz="4" w:space="0"/>
            </w:tcBorders>
            <w:vAlign w:val="center"/>
          </w:tcPr>
          <w:p>
            <w:pPr>
              <w:widowControl/>
              <w:jc w:val="left"/>
              <w:rPr>
                <w:rFonts w:hint="eastAsia" w:ascii="宋体" w:hAnsi="宋体" w:eastAsia="宋体" w:cs="宋体"/>
                <w:kern w:val="0"/>
                <w:sz w:val="16"/>
                <w:szCs w:val="16"/>
              </w:rPr>
            </w:pPr>
          </w:p>
        </w:tc>
        <w:tc>
          <w:tcPr>
            <w:tcW w:w="574" w:type="dxa"/>
            <w:vMerge w:val="continue"/>
            <w:tcBorders>
              <w:top w:val="nil"/>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kern w:val="0"/>
                <w:sz w:val="16"/>
                <w:szCs w:val="16"/>
              </w:rPr>
            </w:pPr>
          </w:p>
        </w:tc>
        <w:tc>
          <w:tcPr>
            <w:tcW w:w="1764" w:type="dxa"/>
            <w:vMerge w:val="continue"/>
            <w:tcBorders>
              <w:top w:val="single" w:color="auto" w:sz="4" w:space="0"/>
              <w:left w:val="single" w:color="auto" w:sz="4" w:space="0"/>
              <w:bottom w:val="single" w:color="000000" w:sz="4" w:space="0"/>
              <w:right w:val="single" w:color="000000" w:sz="4" w:space="0"/>
            </w:tcBorders>
            <w:shd w:val="clear" w:color="auto" w:fill="auto"/>
            <w:vAlign w:val="center"/>
          </w:tcPr>
          <w:p>
            <w:pPr>
              <w:jc w:val="center"/>
              <w:rPr>
                <w:rFonts w:hint="eastAsia" w:ascii="宋体" w:hAnsi="宋体" w:eastAsia="宋体" w:cs="宋体"/>
                <w:kern w:val="0"/>
                <w:sz w:val="16"/>
                <w:szCs w:val="16"/>
              </w:rPr>
            </w:pPr>
          </w:p>
        </w:tc>
        <w:tc>
          <w:tcPr>
            <w:tcW w:w="2124" w:type="dxa"/>
            <w:gridSpan w:val="4"/>
            <w:tcBorders>
              <w:top w:val="single" w:color="auto" w:sz="4" w:space="0"/>
              <w:left w:val="nil"/>
              <w:bottom w:val="single" w:color="auto"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退休教师满意度</w:t>
            </w:r>
          </w:p>
        </w:tc>
        <w:tc>
          <w:tcPr>
            <w:tcW w:w="2112"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kern w:val="0"/>
                <w:sz w:val="16"/>
                <w:szCs w:val="16"/>
              </w:rPr>
            </w:pPr>
            <w:r>
              <w:rPr>
                <w:rFonts w:hint="eastAsia" w:ascii="宋体" w:hAnsi="宋体" w:eastAsia="宋体" w:cs="宋体"/>
                <w:i w:val="0"/>
                <w:iCs w:val="0"/>
                <w:color w:val="000000"/>
                <w:kern w:val="0"/>
                <w:sz w:val="16"/>
                <w:szCs w:val="16"/>
                <w:u w:val="none"/>
                <w:lang w:val="en-US" w:eastAsia="zh-CN" w:bidi="ar"/>
              </w:rPr>
              <w:t>≥95%</w:t>
            </w:r>
          </w:p>
        </w:tc>
        <w:tc>
          <w:tcPr>
            <w:tcW w:w="1767" w:type="dxa"/>
            <w:gridSpan w:val="4"/>
            <w:tcBorders>
              <w:top w:val="single" w:color="auto" w:sz="4" w:space="0"/>
              <w:left w:val="nil"/>
              <w:bottom w:val="single" w:color="auto"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color w:val="000000"/>
                <w:kern w:val="0"/>
                <w:sz w:val="16"/>
                <w:szCs w:val="16"/>
              </w:rPr>
            </w:pPr>
            <w:r>
              <w:rPr>
                <w:rFonts w:hint="eastAsia" w:ascii="宋体" w:hAnsi="宋体" w:eastAsia="宋体" w:cs="宋体"/>
                <w:i w:val="0"/>
                <w:iCs w:val="0"/>
                <w:color w:val="000000"/>
                <w:kern w:val="0"/>
                <w:sz w:val="16"/>
                <w:szCs w:val="16"/>
                <w:u w:val="none"/>
                <w:lang w:val="en-US" w:eastAsia="zh-CN" w:bidi="ar"/>
              </w:rPr>
              <w:t>95%</w:t>
            </w:r>
          </w:p>
        </w:tc>
      </w:tr>
    </w:tbl>
    <w:p>
      <w:pPr>
        <w:rPr>
          <w:rFonts w:ascii="仿宋" w:hAnsi="仿宋" w:eastAsia="仿宋" w:cs="宋体"/>
          <w:color w:val="333333"/>
          <w:sz w:val="32"/>
          <w:szCs w:val="32"/>
        </w:rPr>
      </w:pPr>
    </w:p>
    <w:sectPr>
      <w:footerReference r:id="rId3" w:type="default"/>
      <w:pgSz w:w="11906" w:h="16838"/>
      <w:pgMar w:top="1440" w:right="1800" w:bottom="1440" w:left="1800"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85271"/>
    </w:sdtPr>
    <w:sdtEndPr>
      <w:rPr>
        <w:rFonts w:asciiTheme="minorEastAsia" w:hAnsiTheme="minorEastAsia"/>
        <w:sz w:val="28"/>
        <w:szCs w:val="28"/>
      </w:rPr>
    </w:sdtEndPr>
    <w:sdtContent>
      <w:p>
        <w:pPr>
          <w:pStyle w:val="8"/>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15 -</w:t>
        </w:r>
        <w:r>
          <w:rPr>
            <w:rFonts w:asciiTheme="minorEastAsia" w:hAnsiTheme="minorEastAsia"/>
            <w:sz w:val="28"/>
            <w:szCs w:val="28"/>
          </w:rPr>
          <w:fldChar w:fldCharType="end"/>
        </w:r>
      </w:p>
    </w:sdtContent>
  </w:sdt>
  <w:p>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699945"/>
    <w:multiLevelType w:val="singleLevel"/>
    <w:tmpl w:val="9C699945"/>
    <w:lvl w:ilvl="0" w:tentative="0">
      <w:start w:val="1"/>
      <w:numFmt w:val="decimal"/>
      <w:suff w:val="nothing"/>
      <w:lvlText w:val="%1、"/>
      <w:lvlJc w:val="left"/>
    </w:lvl>
  </w:abstractNum>
  <w:abstractNum w:abstractNumId="1">
    <w:nsid w:val="AECFA53F"/>
    <w:multiLevelType w:val="singleLevel"/>
    <w:tmpl w:val="AECFA53F"/>
    <w:lvl w:ilvl="0" w:tentative="0">
      <w:start w:val="3"/>
      <w:numFmt w:val="decimal"/>
      <w:suff w:val="nothing"/>
      <w:lvlText w:val="%1、"/>
      <w:lvlJc w:val="left"/>
    </w:lvl>
  </w:abstractNum>
  <w:abstractNum w:abstractNumId="2">
    <w:nsid w:val="F9379A21"/>
    <w:multiLevelType w:val="singleLevel"/>
    <w:tmpl w:val="F9379A21"/>
    <w:lvl w:ilvl="0" w:tentative="0">
      <w:start w:val="1"/>
      <w:numFmt w:val="decimal"/>
      <w:suff w:val="nothing"/>
      <w:lvlText w:val="%1、"/>
      <w:lvlJc w:val="left"/>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9"/>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1MDZlYmI5MDk0MTg0NGQ5YjU3MzZhZWMwZGE3NjIifQ=="/>
  </w:docVars>
  <w:rsids>
    <w:rsidRoot w:val="00633862"/>
    <w:rsid w:val="000256C0"/>
    <w:rsid w:val="00025A44"/>
    <w:rsid w:val="00056C1E"/>
    <w:rsid w:val="00062F23"/>
    <w:rsid w:val="00072084"/>
    <w:rsid w:val="00072AE5"/>
    <w:rsid w:val="0009422A"/>
    <w:rsid w:val="000B6B13"/>
    <w:rsid w:val="000D038B"/>
    <w:rsid w:val="000D1DEE"/>
    <w:rsid w:val="000D3AFA"/>
    <w:rsid w:val="000F520D"/>
    <w:rsid w:val="00105D60"/>
    <w:rsid w:val="001121F2"/>
    <w:rsid w:val="00112859"/>
    <w:rsid w:val="001173EB"/>
    <w:rsid w:val="00150C4C"/>
    <w:rsid w:val="00191BA3"/>
    <w:rsid w:val="001A2299"/>
    <w:rsid w:val="001A3A0E"/>
    <w:rsid w:val="001F630E"/>
    <w:rsid w:val="00220FF8"/>
    <w:rsid w:val="0022744B"/>
    <w:rsid w:val="00234372"/>
    <w:rsid w:val="00234B37"/>
    <w:rsid w:val="00246941"/>
    <w:rsid w:val="002764C7"/>
    <w:rsid w:val="0028703F"/>
    <w:rsid w:val="002D075E"/>
    <w:rsid w:val="002F2874"/>
    <w:rsid w:val="00303A08"/>
    <w:rsid w:val="003226C4"/>
    <w:rsid w:val="003C59DC"/>
    <w:rsid w:val="003E3DEF"/>
    <w:rsid w:val="003E7C70"/>
    <w:rsid w:val="00404D85"/>
    <w:rsid w:val="0049337C"/>
    <w:rsid w:val="004C4C4D"/>
    <w:rsid w:val="004C6FF3"/>
    <w:rsid w:val="004E69F5"/>
    <w:rsid w:val="004E7AAC"/>
    <w:rsid w:val="00531A31"/>
    <w:rsid w:val="00533C6C"/>
    <w:rsid w:val="005625D5"/>
    <w:rsid w:val="00593943"/>
    <w:rsid w:val="005A08A8"/>
    <w:rsid w:val="005B1250"/>
    <w:rsid w:val="005C33CE"/>
    <w:rsid w:val="006225D7"/>
    <w:rsid w:val="00633862"/>
    <w:rsid w:val="00634A48"/>
    <w:rsid w:val="006379B7"/>
    <w:rsid w:val="006413B6"/>
    <w:rsid w:val="0065153F"/>
    <w:rsid w:val="006910A7"/>
    <w:rsid w:val="00691310"/>
    <w:rsid w:val="006A7181"/>
    <w:rsid w:val="006C5BED"/>
    <w:rsid w:val="006D3947"/>
    <w:rsid w:val="00702D4A"/>
    <w:rsid w:val="00707939"/>
    <w:rsid w:val="007115C8"/>
    <w:rsid w:val="00713ADC"/>
    <w:rsid w:val="00725B9A"/>
    <w:rsid w:val="00754721"/>
    <w:rsid w:val="007713F8"/>
    <w:rsid w:val="007A7491"/>
    <w:rsid w:val="007A7874"/>
    <w:rsid w:val="007F021C"/>
    <w:rsid w:val="00800784"/>
    <w:rsid w:val="00817432"/>
    <w:rsid w:val="008610C5"/>
    <w:rsid w:val="008614D8"/>
    <w:rsid w:val="00875327"/>
    <w:rsid w:val="00886879"/>
    <w:rsid w:val="00890FC2"/>
    <w:rsid w:val="008E3F8A"/>
    <w:rsid w:val="008F09E6"/>
    <w:rsid w:val="00923468"/>
    <w:rsid w:val="00952782"/>
    <w:rsid w:val="0095580D"/>
    <w:rsid w:val="0097614B"/>
    <w:rsid w:val="00992D45"/>
    <w:rsid w:val="009A1625"/>
    <w:rsid w:val="009E5FF8"/>
    <w:rsid w:val="009F06F4"/>
    <w:rsid w:val="00A05135"/>
    <w:rsid w:val="00A36FF9"/>
    <w:rsid w:val="00A43D21"/>
    <w:rsid w:val="00A55238"/>
    <w:rsid w:val="00A67684"/>
    <w:rsid w:val="00AA5126"/>
    <w:rsid w:val="00AC4471"/>
    <w:rsid w:val="00AD16CD"/>
    <w:rsid w:val="00AF42EB"/>
    <w:rsid w:val="00B11BBB"/>
    <w:rsid w:val="00B130FE"/>
    <w:rsid w:val="00B34A48"/>
    <w:rsid w:val="00B407C3"/>
    <w:rsid w:val="00B666A1"/>
    <w:rsid w:val="00BA1454"/>
    <w:rsid w:val="00BB6135"/>
    <w:rsid w:val="00BC2D9F"/>
    <w:rsid w:val="00BD2781"/>
    <w:rsid w:val="00C42609"/>
    <w:rsid w:val="00C4673D"/>
    <w:rsid w:val="00C76454"/>
    <w:rsid w:val="00C81F75"/>
    <w:rsid w:val="00CB1C9D"/>
    <w:rsid w:val="00CC1D87"/>
    <w:rsid w:val="00CC7606"/>
    <w:rsid w:val="00CD2F35"/>
    <w:rsid w:val="00CE16E7"/>
    <w:rsid w:val="00CE61DB"/>
    <w:rsid w:val="00D26F3D"/>
    <w:rsid w:val="00D278CF"/>
    <w:rsid w:val="00D77626"/>
    <w:rsid w:val="00D81EE2"/>
    <w:rsid w:val="00D8522E"/>
    <w:rsid w:val="00DA67B8"/>
    <w:rsid w:val="00DB1085"/>
    <w:rsid w:val="00DD0350"/>
    <w:rsid w:val="00DD223C"/>
    <w:rsid w:val="00DF6297"/>
    <w:rsid w:val="00E213C7"/>
    <w:rsid w:val="00E41A31"/>
    <w:rsid w:val="00E4495F"/>
    <w:rsid w:val="00E7188B"/>
    <w:rsid w:val="00F006BD"/>
    <w:rsid w:val="00F16D69"/>
    <w:rsid w:val="00F17550"/>
    <w:rsid w:val="00F27120"/>
    <w:rsid w:val="00F341E0"/>
    <w:rsid w:val="00F36401"/>
    <w:rsid w:val="00F3788B"/>
    <w:rsid w:val="00F42445"/>
    <w:rsid w:val="00F44FCC"/>
    <w:rsid w:val="00F74974"/>
    <w:rsid w:val="00F829DE"/>
    <w:rsid w:val="00F84215"/>
    <w:rsid w:val="00F91CBB"/>
    <w:rsid w:val="00FA7BA1"/>
    <w:rsid w:val="0E9A5E97"/>
    <w:rsid w:val="1EB60E4D"/>
    <w:rsid w:val="1F263BC6"/>
    <w:rsid w:val="1F9E2816"/>
    <w:rsid w:val="232C27C8"/>
    <w:rsid w:val="3DC14964"/>
    <w:rsid w:val="42F400A3"/>
    <w:rsid w:val="43BB272B"/>
    <w:rsid w:val="47C702AC"/>
    <w:rsid w:val="56A637EF"/>
    <w:rsid w:val="588859F9"/>
    <w:rsid w:val="5C3569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iPriority="39" w:semiHidden="0" w:name="toc 2"/>
    <w:lsdException w:qFormat="1"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7"/>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5"/>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9"/>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6">
    <w:name w:val="Default Paragraph Font"/>
    <w:semiHidden/>
    <w:unhideWhenUsed/>
    <w:qFormat/>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6">
    <w:name w:val="Body Text"/>
    <w:basedOn w:val="1"/>
    <w:link w:val="30"/>
    <w:qFormat/>
    <w:uiPriority w:val="1"/>
    <w:pPr>
      <w:autoSpaceDE w:val="0"/>
      <w:autoSpaceDN w:val="0"/>
      <w:jc w:val="left"/>
    </w:pPr>
    <w:rPr>
      <w:rFonts w:ascii="宋体" w:hAnsi="宋体" w:eastAsia="宋体" w:cs="宋体"/>
      <w:kern w:val="0"/>
      <w:sz w:val="32"/>
      <w:szCs w:val="32"/>
      <w:lang w:val="zh-CN" w:bidi="zh-CN"/>
    </w:rPr>
  </w:style>
  <w:style w:type="paragraph" w:styleId="7">
    <w:name w:val="toc 3"/>
    <w:basedOn w:val="1"/>
    <w:next w:val="1"/>
    <w:unhideWhenUsed/>
    <w:qFormat/>
    <w:uiPriority w:val="39"/>
    <w:pPr>
      <w:ind w:left="840" w:leftChars="400"/>
    </w:p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4"/>
    <w:basedOn w:val="1"/>
    <w:next w:val="1"/>
    <w:unhideWhenUsed/>
    <w:qFormat/>
    <w:uiPriority w:val="39"/>
    <w:pPr>
      <w:ind w:left="1260" w:leftChars="600"/>
    </w:pPr>
  </w:style>
  <w:style w:type="paragraph" w:styleId="11">
    <w:name w:val="Subtitle"/>
    <w:basedOn w:val="1"/>
    <w:next w:val="1"/>
    <w:link w:val="24"/>
    <w:qFormat/>
    <w:uiPriority w:val="11"/>
    <w:pPr>
      <w:spacing w:before="240" w:after="60" w:line="312" w:lineRule="auto"/>
      <w:jc w:val="center"/>
      <w:outlineLvl w:val="1"/>
    </w:pPr>
    <w:rPr>
      <w:b/>
      <w:bCs/>
      <w:kern w:val="28"/>
      <w:sz w:val="32"/>
      <w:szCs w:val="32"/>
    </w:rPr>
  </w:style>
  <w:style w:type="paragraph" w:styleId="12">
    <w:name w:val="toc 2"/>
    <w:basedOn w:val="1"/>
    <w:next w:val="1"/>
    <w:unhideWhenUsed/>
    <w:qFormat/>
    <w:uiPriority w:val="39"/>
    <w:pPr>
      <w:ind w:left="420" w:leftChars="200"/>
    </w:pPr>
  </w:style>
  <w:style w:type="paragraph" w:styleId="13">
    <w:name w:val="Normal (Web)"/>
    <w:basedOn w:val="1"/>
    <w:qFormat/>
    <w:uiPriority w:val="99"/>
    <w:pPr>
      <w:spacing w:before="100" w:beforeAutospacing="1" w:after="100" w:afterAutospacing="1"/>
      <w:jc w:val="left"/>
    </w:pPr>
    <w:rPr>
      <w:rFonts w:cs="Times New Roman"/>
      <w:sz w:val="24"/>
    </w:rPr>
  </w:style>
  <w:style w:type="paragraph" w:styleId="14">
    <w:name w:val="Title"/>
    <w:basedOn w:val="1"/>
    <w:next w:val="1"/>
    <w:link w:val="22"/>
    <w:qFormat/>
    <w:uiPriority w:val="10"/>
    <w:pPr>
      <w:spacing w:before="240" w:after="60"/>
      <w:jc w:val="center"/>
      <w:outlineLvl w:val="0"/>
    </w:pPr>
    <w:rPr>
      <w:rFonts w:asciiTheme="majorHAnsi" w:hAnsiTheme="majorHAnsi" w:eastAsiaTheme="majorEastAsia" w:cstheme="majorBidi"/>
      <w:b/>
      <w:bCs/>
      <w:sz w:val="32"/>
      <w:szCs w:val="32"/>
    </w:rPr>
  </w:style>
  <w:style w:type="character" w:styleId="17">
    <w:name w:val="Strong"/>
    <w:basedOn w:val="16"/>
    <w:qFormat/>
    <w:uiPriority w:val="0"/>
    <w:rPr>
      <w:b/>
      <w:bCs/>
    </w:rPr>
  </w:style>
  <w:style w:type="character" w:styleId="18">
    <w:name w:val="Hyperlink"/>
    <w:basedOn w:val="16"/>
    <w:unhideWhenUsed/>
    <w:qFormat/>
    <w:uiPriority w:val="99"/>
    <w:rPr>
      <w:color w:val="0000FF" w:themeColor="hyperlink"/>
      <w:u w:val="single"/>
      <w14:textFill>
        <w14:solidFill>
          <w14:schemeClr w14:val="hlink"/>
        </w14:solidFill>
      </w14:textFill>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paragraph" w:styleId="21">
    <w:name w:val="List Paragraph"/>
    <w:basedOn w:val="1"/>
    <w:unhideWhenUsed/>
    <w:qFormat/>
    <w:uiPriority w:val="99"/>
    <w:pPr>
      <w:ind w:firstLine="420" w:firstLineChars="200"/>
    </w:pPr>
  </w:style>
  <w:style w:type="character" w:customStyle="1" w:styleId="22">
    <w:name w:val="标题 字符"/>
    <w:basedOn w:val="16"/>
    <w:link w:val="14"/>
    <w:qFormat/>
    <w:uiPriority w:val="10"/>
    <w:rPr>
      <w:rFonts w:asciiTheme="majorHAnsi" w:hAnsiTheme="majorHAnsi" w:eastAsiaTheme="majorEastAsia" w:cstheme="majorBidi"/>
      <w:b/>
      <w:bCs/>
      <w:sz w:val="32"/>
      <w:szCs w:val="32"/>
    </w:rPr>
  </w:style>
  <w:style w:type="character" w:customStyle="1" w:styleId="23">
    <w:name w:val="标题 2 字符"/>
    <w:basedOn w:val="16"/>
    <w:link w:val="3"/>
    <w:qFormat/>
    <w:uiPriority w:val="9"/>
    <w:rPr>
      <w:rFonts w:asciiTheme="majorHAnsi" w:hAnsiTheme="majorHAnsi" w:eastAsiaTheme="majorEastAsia" w:cstheme="majorBidi"/>
      <w:b/>
      <w:bCs/>
      <w:sz w:val="32"/>
      <w:szCs w:val="32"/>
    </w:rPr>
  </w:style>
  <w:style w:type="character" w:customStyle="1" w:styleId="24">
    <w:name w:val="副标题 字符"/>
    <w:basedOn w:val="16"/>
    <w:link w:val="11"/>
    <w:qFormat/>
    <w:uiPriority w:val="11"/>
    <w:rPr>
      <w:b/>
      <w:bCs/>
      <w:kern w:val="28"/>
      <w:sz w:val="32"/>
      <w:szCs w:val="32"/>
    </w:rPr>
  </w:style>
  <w:style w:type="character" w:customStyle="1" w:styleId="25">
    <w:name w:val="标题 3 字符"/>
    <w:basedOn w:val="16"/>
    <w:link w:val="4"/>
    <w:qFormat/>
    <w:uiPriority w:val="9"/>
    <w:rPr>
      <w:b/>
      <w:bCs/>
      <w:sz w:val="32"/>
      <w:szCs w:val="32"/>
    </w:rPr>
  </w:style>
  <w:style w:type="character" w:styleId="26">
    <w:name w:val="Placeholder Text"/>
    <w:basedOn w:val="16"/>
    <w:semiHidden/>
    <w:qFormat/>
    <w:uiPriority w:val="99"/>
    <w:rPr>
      <w:color w:val="808080"/>
    </w:rPr>
  </w:style>
  <w:style w:type="character" w:customStyle="1" w:styleId="27">
    <w:name w:val="标题 1 字符"/>
    <w:basedOn w:val="16"/>
    <w:link w:val="2"/>
    <w:qFormat/>
    <w:uiPriority w:val="9"/>
    <w:rPr>
      <w:b/>
      <w:bCs/>
      <w:kern w:val="44"/>
      <w:sz w:val="44"/>
      <w:szCs w:val="44"/>
    </w:rPr>
  </w:style>
  <w:style w:type="paragraph" w:customStyle="1" w:styleId="28">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29">
    <w:name w:val="标题 4 字符"/>
    <w:basedOn w:val="16"/>
    <w:link w:val="5"/>
    <w:qFormat/>
    <w:uiPriority w:val="9"/>
    <w:rPr>
      <w:rFonts w:asciiTheme="majorHAnsi" w:hAnsiTheme="majorHAnsi" w:eastAsiaTheme="majorEastAsia" w:cstheme="majorBidi"/>
      <w:b/>
      <w:bCs/>
      <w:sz w:val="28"/>
      <w:szCs w:val="28"/>
    </w:rPr>
  </w:style>
  <w:style w:type="character" w:customStyle="1" w:styleId="30">
    <w:name w:val="正文文本 字符"/>
    <w:basedOn w:val="16"/>
    <w:link w:val="6"/>
    <w:qFormat/>
    <w:uiPriority w:val="1"/>
    <w:rPr>
      <w:rFonts w:ascii="宋体" w:hAnsi="宋体" w:eastAsia="宋体" w:cs="宋体"/>
      <w:sz w:val="32"/>
      <w:szCs w:val="32"/>
      <w:lang w:val="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00354B-5B50-4B01-AB34-B9849A21613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Pages>
  <Words>6202</Words>
  <Characters>6807</Characters>
  <Lines>54</Lines>
  <Paragraphs>15</Paragraphs>
  <TotalTime>3</TotalTime>
  <ScaleCrop>false</ScaleCrop>
  <LinksUpToDate>false</LinksUpToDate>
  <CharactersWithSpaces>6859</CharactersWithSpaces>
  <Application>WPS Office_11.1.0.11691_F1E327BC-269C-435d-A152-05C5408002CA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2022-05-26T02:25:00Z</dcterms:created>
  <dc:creator>jc</dc:creator>
  <cp:lastModifiedBy>A.X</cp:lastModifiedBy>
  <dcterms:modified xsi:type="dcterms:W3CDTF">2022-05-26T08:58:53Z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2052-11.1.0.11691</vt:lpwstr>
  </property>
  <property fmtid="{D5CDD505-2E9C-101B-9397-08002B2CF9AE}" pid="3" name="ICV">
    <vt:lpwstr>8F5975D0E6024D2A80D8F3B021FD445C</vt:lpwstr>
  </property>
</Properties>
</file>